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№15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обслуживания с приоритетами.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обслуживания механиков на складе.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обслуживания в порту судов двух типов.</w:t>
      </w:r>
    </w:p>
    <w:p>
      <w:pPr>
        <w:pStyle w:val="Compact"/>
        <w:numPr>
          <w:ilvl w:val="0"/>
          <w:numId w:val="1001"/>
        </w:numPr>
      </w:pPr>
      <w:r>
        <w:t xml:space="preserve">Проанализировать отчёты.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построила модель обслуживания механиков на складе, сформировала отчёт (рис. 1):</w:t>
      </w:r>
    </w:p>
    <w:bookmarkStart w:id="25" w:name="fig:1"/>
    <w:p>
      <w:pPr>
        <w:pStyle w:val="CaptionedFigure"/>
      </w:pPr>
      <w:r>
        <w:drawing>
          <wp:inline>
            <wp:extent cx="3733800" cy="4556501"/>
            <wp:effectExtent b="0" l="0" r="0" t="0"/>
            <wp:docPr descr="Рис. 1: Первый отчёт.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отчёт.</w:t>
      </w:r>
    </w:p>
    <w:bookmarkEnd w:id="25"/>
    <w:p>
      <w:pPr>
        <w:pStyle w:val="BodyText"/>
      </w:pPr>
      <w:r>
        <w:t xml:space="preserve">Он получился точно такой же, как в тексте лабораторной работы.</w:t>
      </w:r>
    </w:p>
    <w:p>
      <w:pPr>
        <w:pStyle w:val="BodyText"/>
      </w:pPr>
      <w:r>
        <w:t xml:space="preserve">Время моделирования - рабочий день (8 часов; в секундах). Обслужено 146 заявок (механиков). В очереди максимум было 8 механиков с запросом первого типа и 3 с запросом 2 типа, это отражает то, что приоритет был у запросов 2 типа. Ресурсы использовались на 96.7%, среднее время обслуживания было около 191 секунды для обоих типов. В очереди первый тип проводил значительно больше (935.747 секунд), чем второй тип (156.162 секунды). Если считать тех, кро прошёл без очереди, то это 883.029 секунд против 152.399 секунд.</w:t>
      </w:r>
    </w:p>
    <w:p>
      <w:pPr>
        <w:pStyle w:val="BodyText"/>
      </w:pPr>
      <w:r>
        <w:t xml:space="preserve">Потом я написала код для моделирования обслуживания в порту судов двух типов. Получила следующий отчёт (рис. 2):</w:t>
      </w:r>
    </w:p>
    <w:bookmarkStart w:id="29" w:name="fig:2"/>
    <w:p>
      <w:pPr>
        <w:pStyle w:val="CaptionedFigure"/>
      </w:pPr>
      <w:r>
        <w:drawing>
          <wp:inline>
            <wp:extent cx="3733800" cy="6380472"/>
            <wp:effectExtent b="0" l="0" r="0" t="0"/>
            <wp:docPr descr="Рис. 2: Второй отчёт.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отчёт.</w:t>
      </w:r>
    </w:p>
    <w:bookmarkEnd w:id="29"/>
    <w:p>
      <w:pPr>
        <w:pStyle w:val="BodyText"/>
      </w:pPr>
      <w:r>
        <w:t xml:space="preserve">Время моделирования - 365 дней по 8 часов (в минутах). Обслужилось 1345 заявок 1 типа (малых судов) и 446 заявок 2 типа (больших судов) - это отражает то. что малые суды поступали в 3 раза чаще больших. В среднем ожидало обслуживания 288 судов 1 типа и 35 судов 2 типа. В среднем ожидание длилось 97.724 минут для первого типа и 352.553 минуты для второго (если не считать тех, кто прошёл без очереди, то 124.351 и 382.576 минут соответственно).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Построила различные модели обслуживания с приоритетами.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№15</dc:title>
  <dc:creator>Екатерина Канева, НФИбд-02-22</dc:creator>
  <dc:language>ru-RU</dc:language>
  <cp:keywords/>
  <dcterms:created xsi:type="dcterms:W3CDTF">2025-05-16T11:54:27Z</dcterms:created>
  <dcterms:modified xsi:type="dcterms:W3CDTF">2025-05-16T11:54:27Z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