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Компьютерный практикум по статистическому анализу данных</w:t>
      </w:r>
    </w:p>
    <w:p>
      <w:pPr>
        <w:pStyle w:val="Author"/>
      </w:pPr>
      <w:r>
        <w:t xml:space="preserve">Канева Екатерина,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Julia</w:t>
      </w:r>
    </w:p>
    <w:p>
      <w:pPr>
        <w:pStyle w:val="Compact"/>
        <w:numPr>
          <w:ilvl w:val="0"/>
          <w:numId w:val="1001"/>
        </w:numPr>
      </w:pPr>
      <w:r>
        <w:t xml:space="preserve">Познакомиться с синтаксисом языка Julia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для самостоятельной работы</w:t>
      </w:r>
    </w:p>
    <w:bookmarkEnd w:id="21"/>
    <w:bookmarkStart w:id="22" w:name="теоретическ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Теоретическая часть</w:t>
      </w:r>
    </w:p>
    <w:p>
      <w:pPr>
        <w:pStyle w:val="FirstParagraph"/>
      </w:pPr>
      <w:r>
        <w:t xml:space="preserve">Julia - высокоуровневый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 меня уже была установлена Julia (она была установлена через chocolatey), поэтому я сразу приступила к знакомству с синтаксисом (рис. 1):</w:t>
      </w:r>
    </w:p>
    <w:bookmarkStart w:id="26" w:name="fig:1"/>
    <w:p>
      <w:pPr>
        <w:pStyle w:val="CaptionedFigure"/>
      </w:pPr>
      <w:r>
        <w:drawing>
          <wp:inline>
            <wp:extent cx="3733800" cy="1196198"/>
            <wp:effectExtent b="0" l="0" r="0" t="0"/>
            <wp:docPr descr="Рис. 1: Julia.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Julia.</w:t>
      </w:r>
    </w:p>
    <w:bookmarkEnd w:id="26"/>
    <w:p>
      <w:pPr>
        <w:pStyle w:val="BodyText"/>
      </w:pPr>
      <w:r>
        <w:t xml:space="preserve">Сначала я выполнила примеры с определением типа числовых величин (рис. 2):</w:t>
      </w:r>
    </w:p>
    <w:bookmarkStart w:id="30" w:name="fig:2"/>
    <w:p>
      <w:pPr>
        <w:pStyle w:val="CaptionedFigure"/>
      </w:pPr>
      <w:r>
        <w:drawing>
          <wp:inline>
            <wp:extent cx="3733800" cy="1620109"/>
            <wp:effectExtent b="0" l="0" r="0" t="0"/>
            <wp:docPr descr="Рис. 2: Примеры определения типа числовых величин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определения типа числовых величин.</w:t>
      </w:r>
    </w:p>
    <w:bookmarkEnd w:id="30"/>
    <w:p>
      <w:pPr>
        <w:pStyle w:val="BodyText"/>
      </w:pPr>
      <w:r>
        <w:t xml:space="preserve">Потом я выполнила примеры с приведением аргументов к одному типу (рис. 3):</w:t>
      </w:r>
    </w:p>
    <w:bookmarkStart w:id="34" w:name="fig:3"/>
    <w:p>
      <w:pPr>
        <w:pStyle w:val="CaptionedFigure"/>
      </w:pPr>
      <w:r>
        <w:drawing>
          <wp:inline>
            <wp:extent cx="3733800" cy="1631081"/>
            <wp:effectExtent b="0" l="0" r="0" t="0"/>
            <wp:docPr descr="Рис. 3: Примеры приведения аргументов к одному типу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приведения аргументов к одному типу.</w:t>
      </w:r>
    </w:p>
    <w:bookmarkEnd w:id="34"/>
    <w:p>
      <w:pPr>
        <w:pStyle w:val="BodyText"/>
      </w:pPr>
      <w:r>
        <w:t xml:space="preserve">Далее я выполнила примеры с определением функций (рис. 4):</w:t>
      </w:r>
    </w:p>
    <w:bookmarkStart w:id="38" w:name="fig:4"/>
    <w:p>
      <w:pPr>
        <w:pStyle w:val="CaptionedFigure"/>
      </w:pPr>
      <w:r>
        <w:drawing>
          <wp:inline>
            <wp:extent cx="3733800" cy="1962006"/>
            <wp:effectExtent b="0" l="0" r="0" t="0"/>
            <wp:docPr descr="Рис. 4: Примеры определения функций.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определения функций.</w:t>
      </w:r>
    </w:p>
    <w:bookmarkEnd w:id="38"/>
    <w:p>
      <w:pPr>
        <w:pStyle w:val="BodyText"/>
      </w:pPr>
      <w:r>
        <w:t xml:space="preserve">Потом я поработала с массивами (рис. 5):</w:t>
      </w:r>
    </w:p>
    <w:bookmarkStart w:id="42" w:name="fig:5"/>
    <w:p>
      <w:pPr>
        <w:pStyle w:val="CaptionedFigure"/>
      </w:pPr>
      <w:r>
        <w:drawing>
          <wp:inline>
            <wp:extent cx="3733800" cy="2197197"/>
            <wp:effectExtent b="0" l="0" r="0" t="0"/>
            <wp:docPr descr="Рис. 5: Примеры работы с массивами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 работы с массивами.</w:t>
      </w:r>
    </w:p>
    <w:bookmarkEnd w:id="42"/>
    <w:p>
      <w:pPr>
        <w:pStyle w:val="BodyText"/>
      </w:pPr>
      <w:r>
        <w:t xml:space="preserve">Изучим документацию по основным функциям Julia для чтения / записи / вывода информации на экран:</w:t>
      </w:r>
      <w:r>
        <w:t xml:space="preserve"> </w:t>
      </w:r>
      <w:r>
        <w:rPr>
          <w:rStyle w:val="VerbatimChar"/>
        </w:rPr>
        <w:t xml:space="preserve">read, readline, readlines, readdlm, print, println, show, write</w:t>
      </w:r>
      <w:r>
        <w:t xml:space="preserve">. Приведем свои примеры их использования, поясняя особенности их применения.</w:t>
      </w:r>
    </w:p>
    <w:p>
      <w:pPr>
        <w:pStyle w:val="BodyText"/>
      </w:pPr>
      <w:r>
        <w:t xml:space="preserve">Для того, чтобы ознакомиться с документацией достаточно поставить знак ? перед интересующей функцией. Пример с изучением документации о команде read() (рис. 6):</w:t>
      </w:r>
    </w:p>
    <w:bookmarkStart w:id="46" w:name="fig:6"/>
    <w:p>
      <w:pPr>
        <w:pStyle w:val="CaptionedFigure"/>
      </w:pPr>
      <w:r>
        <w:drawing>
          <wp:inline>
            <wp:extent cx="3733800" cy="1716855"/>
            <wp:effectExtent b="0" l="0" r="0" t="0"/>
            <wp:docPr descr="Рис. 6: Изучение документации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Изучение документации.</w:t>
      </w:r>
    </w:p>
    <w:bookmarkEnd w:id="46"/>
    <w:p>
      <w:pPr>
        <w:pStyle w:val="BodyText"/>
      </w:pPr>
      <w:r>
        <w:t xml:space="preserve">Создадим текстовый файл с любым содержанием в папке, где мы работаем. Откроем его на чтение и прочитаем с помощью команды</w:t>
      </w:r>
      <w:r>
        <w:t xml:space="preserve"> </w:t>
      </w:r>
      <w:r>
        <w:rPr>
          <w:rStyle w:val="VerbatimChar"/>
        </w:rPr>
        <w:t xml:space="preserve">read</w:t>
      </w:r>
      <w:r>
        <w:t xml:space="preserve">. Текст вывелся в одну строку с разделителями</w:t>
      </w:r>
      <w:r>
        <w:t xml:space="preserve"> </w:t>
      </w:r>
      <w:r>
        <w:rPr>
          <w:rStyle w:val="VerbatimChar"/>
        </w:rPr>
        <w:t xml:space="preserve">\r\n</w:t>
      </w:r>
      <w:r>
        <w:t xml:space="preserve">. Также прочитаем текст используя функцию</w:t>
      </w:r>
      <w:r>
        <w:t xml:space="preserve"> </w:t>
      </w:r>
      <w:r>
        <w:rPr>
          <w:rStyle w:val="VerbatimChar"/>
        </w:rPr>
        <w:t xml:space="preserve">readline</w:t>
      </w:r>
      <w:r>
        <w:t xml:space="preserve"> </w:t>
      </w:r>
      <w:r>
        <w:t xml:space="preserve">- выведется только первая строка. Чтобы прочитать все строки в файле используем команду</w:t>
      </w:r>
      <w:r>
        <w:t xml:space="preserve"> </w:t>
      </w:r>
      <w:r>
        <w:rPr>
          <w:rStyle w:val="VerbatimChar"/>
        </w:rPr>
        <w:t xml:space="preserve">readlines</w:t>
      </w:r>
      <w:r>
        <w:t xml:space="preserve"> </w:t>
      </w:r>
      <w:r>
        <w:t xml:space="preserve">(рис. 7):</w:t>
      </w:r>
    </w:p>
    <w:bookmarkStart w:id="50" w:name="fig:7"/>
    <w:p>
      <w:pPr>
        <w:pStyle w:val="CaptionedFigure"/>
      </w:pPr>
      <w:r>
        <w:drawing>
          <wp:inline>
            <wp:extent cx="3733800" cy="1633537"/>
            <wp:effectExtent b="0" l="0" r="0" t="0"/>
            <wp:docPr descr="Рис. 7: Использование read, realine и readlines.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read, realine и readlines.</w:t>
      </w:r>
    </w:p>
    <w:bookmarkEnd w:id="50"/>
    <w:p>
      <w:pPr>
        <w:pStyle w:val="BodyText"/>
      </w:pPr>
      <w:r>
        <w:t xml:space="preserve">Далее проделаем действия с командами write и show (рис. 8):</w:t>
      </w:r>
    </w:p>
    <w:bookmarkStart w:id="54" w:name="fig:8"/>
    <w:p>
      <w:pPr>
        <w:pStyle w:val="CaptionedFigure"/>
      </w:pPr>
      <w:r>
        <w:drawing>
          <wp:inline>
            <wp:extent cx="3733800" cy="1647463"/>
            <wp:effectExtent b="0" l="0" r="0" t="0"/>
            <wp:docPr descr="Рис. 8: Использование write и show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write и show.</w:t>
      </w:r>
    </w:p>
    <w:bookmarkEnd w:id="54"/>
    <w:p>
      <w:pPr>
        <w:pStyle w:val="BodyText"/>
      </w:pPr>
      <w:r>
        <w:t xml:space="preserve">Также выполню действия с print и println (рис. 9):</w:t>
      </w:r>
    </w:p>
    <w:bookmarkStart w:id="58" w:name="fig:9"/>
    <w:p>
      <w:pPr>
        <w:pStyle w:val="CaptionedFigure"/>
      </w:pPr>
      <w:r>
        <w:drawing>
          <wp:inline>
            <wp:extent cx="3733800" cy="1527116"/>
            <wp:effectExtent b="0" l="0" r="0" t="0"/>
            <wp:docPr descr="Рис. 9: Использование print и println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Использование print и println.</w:t>
      </w:r>
    </w:p>
    <w:bookmarkEnd w:id="58"/>
    <w:p>
      <w:pPr>
        <w:pStyle w:val="BodyText"/>
      </w:pPr>
      <w:r>
        <w:t xml:space="preserve">После этого я изучила документацию по команде parse и выполнила несколько действий с ней (рис. 10):</w:t>
      </w:r>
    </w:p>
    <w:bookmarkStart w:id="62" w:name="fig:10"/>
    <w:p>
      <w:pPr>
        <w:pStyle w:val="CaptionedFigure"/>
      </w:pPr>
      <w:r>
        <w:drawing>
          <wp:inline>
            <wp:extent cx="3733800" cy="1680548"/>
            <wp:effectExtent b="0" l="0" r="0" t="0"/>
            <wp:docPr descr="Рис. 10: Использование parse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Использование parse.</w:t>
      </w:r>
    </w:p>
    <w:bookmarkEnd w:id="62"/>
    <w:p>
      <w:pPr>
        <w:pStyle w:val="BodyText"/>
      </w:pPr>
      <w:r>
        <w:t xml:space="preserve">Потом я приступила к дйествиям с численными переменными: сложением, вычитанием, умножением, делением (рис. 11), возведение в степень, извлечение корня, сравнение, логические операции (рис. 12):</w:t>
      </w:r>
    </w:p>
    <w:bookmarkStart w:id="66" w:name="fig:11"/>
    <w:p>
      <w:pPr>
        <w:pStyle w:val="CaptionedFigure"/>
      </w:pPr>
      <w:r>
        <w:drawing>
          <wp:inline>
            <wp:extent cx="3733800" cy="3806125"/>
            <wp:effectExtent b="0" l="0" r="0" t="0"/>
            <wp:docPr descr="Рис. 11: Использование арифметических операций.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арифметических операций.</w:t>
      </w:r>
    </w:p>
    <w:bookmarkEnd w:id="66"/>
    <w:bookmarkStart w:id="70" w:name="fig:12"/>
    <w:p>
      <w:pPr>
        <w:pStyle w:val="CaptionedFigure"/>
      </w:pPr>
      <w:r>
        <w:drawing>
          <wp:inline>
            <wp:extent cx="3733800" cy="2695621"/>
            <wp:effectExtent b="0" l="0" r="0" t="0"/>
            <wp:docPr descr="Рис. 12: Использование другие операции с числами.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другие операции с числами.</w:t>
      </w:r>
    </w:p>
    <w:bookmarkEnd w:id="70"/>
    <w:p>
      <w:pPr>
        <w:pStyle w:val="BodyText"/>
      </w:pPr>
      <w:r>
        <w:t xml:space="preserve">В заключение я проделала операции с матрицами: сложение, вычитание, скалярное произведение, транспонирование, умножение на скаляр (рис. 13):</w:t>
      </w:r>
    </w:p>
    <w:bookmarkStart w:id="74" w:name="fig:13"/>
    <w:p>
      <w:pPr>
        <w:pStyle w:val="CaptionedFigure"/>
      </w:pPr>
      <w:r>
        <w:drawing>
          <wp:inline>
            <wp:extent cx="3733800" cy="2887552"/>
            <wp:effectExtent b="0" l="0" r="0" t="0"/>
            <wp:docPr descr="Рис. 13: Операции с матрицами.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Операции с матрицами.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синтаксисом языка Julia.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Канева Екатерина, НФИбд-02-22</dc:creator>
  <dc:language>ru-RU</dc:language>
  <cp:keywords/>
  <dcterms:created xsi:type="dcterms:W3CDTF">2025-09-13T19:59:02Z</dcterms:created>
  <dcterms:modified xsi:type="dcterms:W3CDTF">2025-09-13T19:59:02Z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Компьютерный практикум по статистическому анализу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