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Компьютерный практикум по статистическому анализу данных</w:t>
      </w:r>
    </w:p>
    <w:p>
      <w:pPr>
        <w:pStyle w:val="Author"/>
      </w:pPr>
      <w:r>
        <w:t xml:space="preserve">Канева Екатерина,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 алгебры.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повторить примеры.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задания для самостоятельной работы.</w:t>
      </w:r>
    </w:p>
    <w:bookmarkEnd w:id="21"/>
    <w:bookmarkStart w:id="22" w:name="теоретическая-часть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Теоретическая часть</w:t>
      </w:r>
    </w:p>
    <w:p>
      <w:pPr>
        <w:pStyle w:val="FirstParagraph"/>
      </w:pPr>
      <w:r>
        <w:t xml:space="preserve">Julia - высокоуровневый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Julia.</w:t>
      </w:r>
    </w:p>
    <w:bookmarkEnd w:id="22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5" w:name="пример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Примеры</w:t>
      </w:r>
    </w:p>
    <w:p>
      <w:pPr>
        <w:pStyle w:val="FirstParagraph"/>
      </w:pPr>
      <w:r>
        <w:t xml:space="preserve">Сначала я выполнила примеры с поэлементными операциями над многомерными массивами (рис. 1):</w:t>
      </w:r>
    </w:p>
    <w:bookmarkStart w:id="26" w:name="fig:1"/>
    <w:p>
      <w:pPr>
        <w:pStyle w:val="CaptionedFigure"/>
      </w:pPr>
      <w:r>
        <w:drawing>
          <wp:inline>
            <wp:extent cx="4800600" cy="2074567"/>
            <wp:effectExtent b="0" l="0" r="0" t="0"/>
            <wp:docPr descr="Рис. 1: Первый раздел примеров.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74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Первый раздел примеров.</w:t>
      </w:r>
    </w:p>
    <w:bookmarkEnd w:id="26"/>
    <w:p>
      <w:pPr>
        <w:pStyle w:val="BodyText"/>
      </w:pPr>
      <w:r>
        <w:t xml:space="preserve">Потом я выполнила примеры с транспонированием, следом, рангом, определителем и инверсией матрицы (рис. 2):</w:t>
      </w:r>
    </w:p>
    <w:bookmarkStart w:id="30" w:name="fig:2"/>
    <w:p>
      <w:pPr>
        <w:pStyle w:val="CaptionedFigure"/>
      </w:pPr>
      <w:r>
        <w:drawing>
          <wp:inline>
            <wp:extent cx="4800600" cy="3854948"/>
            <wp:effectExtent b="0" l="0" r="0" t="0"/>
            <wp:docPr descr="Рис. 2: Второй раздел примеров.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54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Второй раздел примеров.</w:t>
      </w:r>
    </w:p>
    <w:bookmarkEnd w:id="30"/>
    <w:p>
      <w:pPr>
        <w:pStyle w:val="BodyText"/>
      </w:pPr>
      <w:r>
        <w:t xml:space="preserve">Потом я выполнила примеры с вычислением нормы векторов и матриц, поворотами, вращениями (рис. 3):</w:t>
      </w:r>
    </w:p>
    <w:bookmarkStart w:id="34" w:name="fig:3"/>
    <w:p>
      <w:pPr>
        <w:pStyle w:val="CaptionedFigure"/>
      </w:pPr>
      <w:r>
        <w:drawing>
          <wp:inline>
            <wp:extent cx="4800600" cy="3589498"/>
            <wp:effectExtent b="0" l="0" r="0" t="0"/>
            <wp:docPr descr="Рис. 3: Третий раздел примеров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89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Третий раздел примеров.</w:t>
      </w:r>
    </w:p>
    <w:bookmarkEnd w:id="34"/>
    <w:p>
      <w:pPr>
        <w:pStyle w:val="BodyText"/>
      </w:pPr>
      <w:r>
        <w:t xml:space="preserve">Потом я выполнила примеры с матричным умножением, единичной матрицей, скалярным произведением (рис. 4):</w:t>
      </w:r>
    </w:p>
    <w:bookmarkStart w:id="38" w:name="fig:4"/>
    <w:p>
      <w:pPr>
        <w:pStyle w:val="CaptionedFigure"/>
      </w:pPr>
      <w:r>
        <w:drawing>
          <wp:inline>
            <wp:extent cx="4800600" cy="1802474"/>
            <wp:effectExtent b="0" l="0" r="0" t="0"/>
            <wp:docPr descr="Рис. 4: Четвёртый раздел примеров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0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Четвёртый раздел примеров.</w:t>
      </w:r>
    </w:p>
    <w:bookmarkEnd w:id="38"/>
    <w:p>
      <w:pPr>
        <w:pStyle w:val="BodyText"/>
      </w:pPr>
      <w:r>
        <w:t xml:space="preserve">Потом я выполнила примеры с факторизацией, специальными матричными структурами (рис. 5-7):</w:t>
      </w:r>
    </w:p>
    <w:bookmarkStart w:id="42" w:name="fig:5"/>
    <w:p>
      <w:pPr>
        <w:pStyle w:val="CaptionedFigure"/>
      </w:pPr>
      <w:r>
        <w:drawing>
          <wp:inline>
            <wp:extent cx="4800600" cy="3788456"/>
            <wp:effectExtent b="0" l="0" r="0" t="0"/>
            <wp:docPr descr="Рис. 5: Пятый раздел примеров (1)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8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Пятый раздел примеров (1).</w:t>
      </w:r>
    </w:p>
    <w:bookmarkEnd w:id="42"/>
    <w:bookmarkStart w:id="46" w:name="fig:6"/>
    <w:p>
      <w:pPr>
        <w:pStyle w:val="CaptionedFigure"/>
      </w:pPr>
      <w:r>
        <w:drawing>
          <wp:inline>
            <wp:extent cx="4800600" cy="3179752"/>
            <wp:effectExtent b="0" l="0" r="0" t="0"/>
            <wp:docPr descr="Рис. 6: Пятый раздел примеров (2)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9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Пятый раздел примеров (2).</w:t>
      </w:r>
    </w:p>
    <w:bookmarkEnd w:id="46"/>
    <w:bookmarkStart w:id="50" w:name="fig:7"/>
    <w:p>
      <w:pPr>
        <w:pStyle w:val="CaptionedFigure"/>
      </w:pPr>
      <w:r>
        <w:drawing>
          <wp:inline>
            <wp:extent cx="4800600" cy="2480309"/>
            <wp:effectExtent b="0" l="0" r="0" t="0"/>
            <wp:docPr descr="Рис. 7: Пятый раздел примеров (3)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Пятый раздел примеров (3).</w:t>
      </w:r>
    </w:p>
    <w:bookmarkEnd w:id="50"/>
    <w:p>
      <w:pPr>
        <w:pStyle w:val="BodyText"/>
      </w:pPr>
      <w:r>
        <w:t xml:space="preserve">Потом я выполнила примеры по общей линейной алгебре (рис. 8):</w:t>
      </w:r>
    </w:p>
    <w:bookmarkStart w:id="54" w:name="fig:8"/>
    <w:p>
      <w:pPr>
        <w:pStyle w:val="CaptionedFigure"/>
      </w:pPr>
      <w:r>
        <w:drawing>
          <wp:inline>
            <wp:extent cx="4800600" cy="2868493"/>
            <wp:effectExtent b="0" l="0" r="0" t="0"/>
            <wp:docPr descr="Рис. 8: Последний раздел примеров.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6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Последний раздел примеров.</w:t>
      </w:r>
    </w:p>
    <w:bookmarkEnd w:id="54"/>
    <w:bookmarkEnd w:id="55"/>
    <w:bookmarkStart w:id="100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Далее я приступила к выполнению заданий для самостоятельной работы.</w:t>
      </w:r>
    </w:p>
    <w:bookmarkStart w:id="60" w:name="произведение-векторов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Произведение векторов</w:t>
      </w:r>
    </w:p>
    <w:p>
      <w:pPr>
        <w:pStyle w:val="FirstParagraph"/>
      </w:pPr>
      <w:r>
        <w:t xml:space="preserve">Выполнила следующие задания (рис. 9):</w:t>
      </w:r>
    </w:p>
    <w:p>
      <w:pPr>
        <w:pStyle w:val="Compact"/>
        <w:numPr>
          <w:ilvl w:val="0"/>
          <w:numId w:val="1002"/>
        </w:numPr>
      </w:pPr>
      <w:r>
        <w:t xml:space="preserve">Задайте вектор v. Умножьте вектор v скалярно сам на себя и сохраните результат в dot_v.</w:t>
      </w:r>
    </w:p>
    <w:p>
      <w:pPr>
        <w:pStyle w:val="Compact"/>
        <w:numPr>
          <w:ilvl w:val="0"/>
          <w:numId w:val="1002"/>
        </w:numPr>
      </w:pPr>
      <w:r>
        <w:t xml:space="preserve">Умножьте v матрично на себя (внешнее произведение), присвоив результат переменной outer_v.</w:t>
      </w:r>
    </w:p>
    <w:bookmarkStart w:id="59" w:name="fig:9"/>
    <w:p>
      <w:pPr>
        <w:pStyle w:val="CaptionedFigure"/>
      </w:pPr>
      <w:r>
        <w:drawing>
          <wp:inline>
            <wp:extent cx="4800600" cy="1563226"/>
            <wp:effectExtent b="0" l="0" r="0" t="0"/>
            <wp:docPr descr="Рис. 9: Раздел 1, задания 1 и 2.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6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Раздел 1, задания 1 и 2.</w:t>
      </w:r>
    </w:p>
    <w:bookmarkEnd w:id="59"/>
    <w:bookmarkEnd w:id="60"/>
    <w:bookmarkStart w:id="73" w:name="системы-линейных-уравнений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Системы линейных уравнений</w:t>
      </w:r>
    </w:p>
    <w:p>
      <w:pPr>
        <w:pStyle w:val="FirstParagraph"/>
      </w:pPr>
      <w:r>
        <w:t xml:space="preserve">Выполнила следующие задания:</w:t>
      </w:r>
    </w:p>
    <w:p>
      <w:pPr>
        <w:pStyle w:val="Compact"/>
        <w:numPr>
          <w:ilvl w:val="0"/>
          <w:numId w:val="1003"/>
        </w:numPr>
      </w:pPr>
      <w:r>
        <w:t xml:space="preserve">Решить СЛАУ с двумя неизвестными (рис. 10-11):</w:t>
      </w:r>
    </w:p>
    <w:bookmarkStart w:id="64" w:name="fig:10"/>
    <w:p>
      <w:pPr>
        <w:pStyle w:val="CaptionedFigure"/>
      </w:pPr>
      <w:r>
        <w:drawing>
          <wp:inline>
            <wp:extent cx="4800600" cy="2101394"/>
            <wp:effectExtent b="0" l="0" r="0" t="0"/>
            <wp:docPr descr="Рис. 10: Раздел 2, задание 1 (1).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01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Раздел 2, задание 1 (1).</w:t>
      </w:r>
    </w:p>
    <w:bookmarkEnd w:id="64"/>
    <w:bookmarkStart w:id="68" w:name="fig:11"/>
    <w:p>
      <w:pPr>
        <w:pStyle w:val="CaptionedFigure"/>
      </w:pPr>
      <w:r>
        <w:drawing>
          <wp:inline>
            <wp:extent cx="4800600" cy="2558773"/>
            <wp:effectExtent b="0" l="0" r="0" t="0"/>
            <wp:docPr descr="Рис. 11: Раздел 2, задание 1 (2).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8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Раздел 2, задание 1 (2).</w:t>
      </w:r>
    </w:p>
    <w:bookmarkEnd w:id="68"/>
    <w:p>
      <w:pPr>
        <w:pStyle w:val="Compact"/>
        <w:numPr>
          <w:ilvl w:val="0"/>
          <w:numId w:val="1004"/>
        </w:numPr>
      </w:pPr>
      <w:r>
        <w:t xml:space="preserve">Решить СЛАУ с двумя неизвестными (рис. 12):</w:t>
      </w:r>
    </w:p>
    <w:bookmarkStart w:id="72" w:name="fig:12"/>
    <w:p>
      <w:pPr>
        <w:pStyle w:val="CaptionedFigure"/>
      </w:pPr>
      <w:r>
        <w:drawing>
          <wp:inline>
            <wp:extent cx="4800600" cy="3159171"/>
            <wp:effectExtent b="0" l="0" r="0" t="0"/>
            <wp:docPr descr="Рис. 12: Раздел 2, задание 2.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59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Раздел 2, задание 2.</w:t>
      </w:r>
    </w:p>
    <w:bookmarkEnd w:id="72"/>
    <w:bookmarkEnd w:id="73"/>
    <w:bookmarkStart w:id="86" w:name="операции-с-матрицами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Операции с матрицами</w:t>
      </w:r>
    </w:p>
    <w:p>
      <w:pPr>
        <w:pStyle w:val="FirstParagraph"/>
      </w:pPr>
      <w:r>
        <w:t xml:space="preserve">Выполнила следующие задания:</w:t>
      </w:r>
    </w:p>
    <w:p>
      <w:pPr>
        <w:pStyle w:val="Compact"/>
        <w:numPr>
          <w:ilvl w:val="0"/>
          <w:numId w:val="1005"/>
        </w:numPr>
      </w:pPr>
      <w:r>
        <w:t xml:space="preserve">Приведите приведённые ниже матрицы к диагональному виду (рис. 13).</w:t>
      </w:r>
    </w:p>
    <w:bookmarkStart w:id="77" w:name="fig:13"/>
    <w:p>
      <w:pPr>
        <w:pStyle w:val="CaptionedFigure"/>
      </w:pPr>
      <w:r>
        <w:drawing>
          <wp:inline>
            <wp:extent cx="4800600" cy="1860457"/>
            <wp:effectExtent b="0" l="0" r="0" t="0"/>
            <wp:docPr descr="Рис. 13: Раздел 3, задание 1.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60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Раздел 3, задание 1.</w:t>
      </w:r>
    </w:p>
    <w:bookmarkEnd w:id="77"/>
    <w:p>
      <w:pPr>
        <w:pStyle w:val="Compact"/>
        <w:numPr>
          <w:ilvl w:val="0"/>
          <w:numId w:val="1006"/>
        </w:numPr>
      </w:pPr>
      <w:r>
        <w:t xml:space="preserve">Вычислите (рис. 14):</w:t>
      </w:r>
    </w:p>
    <w:bookmarkStart w:id="81" w:name="fig:14"/>
    <w:p>
      <w:pPr>
        <w:pStyle w:val="CaptionedFigure"/>
      </w:pPr>
      <w:r>
        <w:drawing>
          <wp:inline>
            <wp:extent cx="4800600" cy="2083181"/>
            <wp:effectExtent b="0" l="0" r="0" t="0"/>
            <wp:docPr descr="Рис. 14: Раздел 3, задание 2.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8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Раздел 3, задание 2.</w:t>
      </w:r>
    </w:p>
    <w:bookmarkEnd w:id="81"/>
    <w:p>
      <w:pPr>
        <w:pStyle w:val="Compact"/>
        <w:numPr>
          <w:ilvl w:val="0"/>
          <w:numId w:val="1007"/>
        </w:numPr>
      </w:pPr>
      <w:r>
        <w:t xml:space="preserve">Найдите собственные значения матрицы A. Создайте диагональную матрицу из собственных значений матрицы A. Создайте нижнедиагональную матрицу из матрицы A. Оцените эффективность выполняемых операций (рис. 15).</w:t>
      </w:r>
    </w:p>
    <w:bookmarkStart w:id="85" w:name="fig:15"/>
    <w:p>
      <w:pPr>
        <w:pStyle w:val="CaptionedFigure"/>
      </w:pPr>
      <w:r>
        <w:drawing>
          <wp:inline>
            <wp:extent cx="4800600" cy="3070121"/>
            <wp:effectExtent b="0" l="0" r="0" t="0"/>
            <wp:docPr descr="Рис. 15: Раздел 3, задание 3.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70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Раздел 3, задание 3.</w:t>
      </w:r>
    </w:p>
    <w:bookmarkEnd w:id="85"/>
    <w:bookmarkEnd w:id="86"/>
    <w:bookmarkStart w:id="99" w:name="линейные-модели-экономики"/>
    <w:p>
      <w:pPr>
        <w:pStyle w:val="Heading3"/>
      </w:pPr>
      <w:r>
        <w:rPr>
          <w:rStyle w:val="SectionNumber"/>
        </w:rPr>
        <w:t xml:space="preserve">4.2.4</w:t>
      </w:r>
      <w:r>
        <w:tab/>
      </w:r>
      <w:r>
        <w:t xml:space="preserve">Линейные модели экономики</w:t>
      </w:r>
    </w:p>
    <w:p>
      <w:pPr>
        <w:pStyle w:val="Compact"/>
        <w:numPr>
          <w:ilvl w:val="0"/>
          <w:numId w:val="1008"/>
        </w:numPr>
      </w:pPr>
      <w:r>
        <w:t xml:space="preserve">Матрица A называется продуктивной, если решение x системы при любой неотрицательной правой части y имеет только неотрицательные элементы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. Используя это определение, проверьте, являются ли матрицы продуктивными (рис. 16):</w:t>
      </w:r>
    </w:p>
    <w:bookmarkStart w:id="90" w:name="fig:16"/>
    <w:p>
      <w:pPr>
        <w:pStyle w:val="CaptionedFigure"/>
      </w:pPr>
      <w:r>
        <w:drawing>
          <wp:inline>
            <wp:extent cx="4800600" cy="1564124"/>
            <wp:effectExtent b="0" l="0" r="0" t="0"/>
            <wp:docPr descr="Рис. 16: Раздел 4, задание 1.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64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Раздел 4, задание 1.</w:t>
      </w:r>
    </w:p>
    <w:bookmarkEnd w:id="90"/>
    <w:p>
      <w:pPr>
        <w:pStyle w:val="Compact"/>
        <w:numPr>
          <w:ilvl w:val="0"/>
          <w:numId w:val="1009"/>
        </w:numPr>
      </w:pPr>
      <w:r>
        <w:t xml:space="preserve">Критерий продуктивности: матрица A является продуктивной тогда и только тогда, когда все элементы матрица</w:t>
      </w:r>
      <w:r>
        <w:t xml:space="preserve"> </w:t>
      </w:r>
      <m:oMath>
        <m:sSup>
          <m:e>
            <m:d>
              <m:dPr>
                <m:begChr m:val="("/>
                <m:sepChr m:val=""/>
                <m:endChr m:val=")"/>
                <m:grow/>
              </m:dPr>
              <m:e>
                <m:r>
                  <m:t>E</m:t>
                </m:r>
                <m:r>
                  <m:rPr>
                    <m:sty m:val="p"/>
                  </m:rPr>
                  <m:t>−</m:t>
                </m:r>
                <m:r>
                  <m:t>A</m:t>
                </m:r>
              </m:e>
            </m:d>
          </m:e>
          <m:sup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являются неотрицательными числами. Используя этот критерий, проверьте, являются ли матрицы продуктивными (рис. 17):</w:t>
      </w:r>
    </w:p>
    <w:bookmarkStart w:id="94" w:name="fig:17"/>
    <w:p>
      <w:pPr>
        <w:pStyle w:val="CaptionedFigure"/>
      </w:pPr>
      <w:r>
        <w:drawing>
          <wp:inline>
            <wp:extent cx="4800600" cy="1337787"/>
            <wp:effectExtent b="0" l="0" r="0" t="0"/>
            <wp:docPr descr="Рис. 17: Раздел 4, задание 2.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37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Раздел 4, задание 2.</w:t>
      </w:r>
    </w:p>
    <w:bookmarkEnd w:id="94"/>
    <w:p>
      <w:pPr>
        <w:pStyle w:val="Compact"/>
        <w:numPr>
          <w:ilvl w:val="0"/>
          <w:numId w:val="1010"/>
        </w:numPr>
      </w:pPr>
      <w:r>
        <w:t xml:space="preserve">Спектральный критерий продуктивности: матрица A является продуктивной тогда и только тогда, когда все её собственные значения по модулю меньше 1. Используя этот критерий, проверьте, являются ли матрицы продуктивными (рис. 18):</w:t>
      </w:r>
    </w:p>
    <w:bookmarkStart w:id="98" w:name="fig:18"/>
    <w:p>
      <w:pPr>
        <w:pStyle w:val="CaptionedFigure"/>
      </w:pPr>
      <w:r>
        <w:drawing>
          <wp:inline>
            <wp:extent cx="4800600" cy="1669773"/>
            <wp:effectExtent b="0" l="0" r="0" t="0"/>
            <wp:docPr descr="Рис. 18: Раздел 4, задание 3.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69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Раздел 4, задание 3.</w:t>
      </w:r>
    </w:p>
    <w:bookmarkEnd w:id="98"/>
    <w:bookmarkEnd w:id="99"/>
    <w:bookmarkEnd w:id="100"/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возможности специализированных пакетов Julia для выполнения и оценки эффективности операций над объектами линейной алгебры.</w:t>
      </w:r>
    </w:p>
    <w:bookmarkEnd w:id="10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Канева Екатерина, НФИбд-02-22</dc:creator>
  <dc:language>ru-RU</dc:language>
  <cp:keywords/>
  <dcterms:created xsi:type="dcterms:W3CDTF">2025-10-25T18:13:07Z</dcterms:created>
  <dcterms:modified xsi:type="dcterms:W3CDTF">2025-10-25T18:13:07Z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Компьютерный практикум по статистическому анализу данных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