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 w:before="164" w:line="240" w:lineRule="auto"/>
        <w:ind w:left="9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anchor allowOverlap="1" behindDoc="1" distB="0" distT="0" distL="0" distR="0" hidden="0" layoutInCell="1" locked="0" relativeHeight="0" simplePos="0">
            <wp:simplePos x="0" y="0"/>
            <wp:positionH relativeFrom="page">
              <wp:posOffset>0</wp:posOffset>
            </wp:positionH>
            <wp:positionV relativeFrom="page">
              <wp:posOffset>581660</wp:posOffset>
            </wp:positionV>
            <wp:extent cx="7555737" cy="9799955"/>
            <wp:effectExtent b="0" l="0" r="0" t="0"/>
            <wp:wrapNone/>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7555737" cy="9799955"/>
                    </a:xfrm>
                    <a:prstGeom prst="rect"/>
                    <a:ln/>
                  </pic:spPr>
                </pic:pic>
              </a:graphicData>
            </a:graphic>
          </wp:anchor>
        </w:drawing>
      </w:r>
      <w:r w:rsidDel="00000000" w:rsidR="00000000" w:rsidRPr="00000000">
        <w:rPr>
          <w:rtl w:val="0"/>
        </w:rPr>
      </w:r>
    </w:p>
    <w:tbl>
      <w:tblPr>
        <w:tblStyle w:val="Table1"/>
        <w:tblW w:w="11760.0" w:type="dxa"/>
        <w:jc w:val="left"/>
        <w:tblInd w:w="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60"/>
        <w:gridCol w:w="2445"/>
        <w:gridCol w:w="975"/>
        <w:gridCol w:w="1140"/>
        <w:gridCol w:w="2040"/>
        <w:tblGridChange w:id="0">
          <w:tblGrid>
            <w:gridCol w:w="5160"/>
            <w:gridCol w:w="2445"/>
            <w:gridCol w:w="975"/>
            <w:gridCol w:w="1140"/>
            <w:gridCol w:w="2040"/>
          </w:tblGrid>
        </w:tblGridChange>
      </w:tblGrid>
      <w:tr>
        <w:trPr>
          <w:cantSplit w:val="0"/>
          <w:trHeight w:val="480" w:hRule="atLeast"/>
          <w:tblHeader w:val="0"/>
        </w:trPr>
        <w:tc>
          <w:tcPr>
            <w:gridSpan w:val="5"/>
            <w:tcBorders>
              <w:left w:color="000000" w:space="0" w:sz="4" w:val="single"/>
            </w:tcBorders>
            <w:shd w:fill="e2dfeb" w:val="clear"/>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89" w:lineRule="auto"/>
              <w:ind w:left="78" w:right="64" w:firstLine="0"/>
              <w:jc w:val="center"/>
              <w:rPr>
                <w:rFonts w:ascii="Calibri" w:cs="Calibri" w:eastAsia="Calibri" w:hAnsi="Calibri"/>
                <w:b w:val="1"/>
                <w:bCs w:val="1"/>
                <w:i w:val="0"/>
                <w:iCs w:val="0"/>
                <w:smallCaps w:val="0"/>
                <w:strike w:val="0"/>
                <w:color w:val="000000"/>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Atlantis EADV Congress</w:t>
            </w:r>
          </w:p>
        </w:tc>
      </w:tr>
      <w:tr>
        <w:trPr>
          <w:cantSplit w:val="0"/>
          <w:trHeight w:val="954" w:hRule="atLeast"/>
          <w:tblHeader w:val="0"/>
        </w:trPr>
        <w:tc>
          <w:tcPr>
            <w:gridSpan w:val="5"/>
            <w:tcBorders>
              <w:left w:color="000000" w:space="0" w:sz="4" w:val="single"/>
            </w:tcBorders>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88" w:lineRule="auto"/>
              <w:ind w:left="78" w:right="68" w:firstLine="0"/>
              <w:jc w:val="center"/>
              <w:rPr>
                <w:rFonts w:ascii="Calibri" w:cs="Calibri" w:eastAsia="Calibri" w:hAnsi="Calibri"/>
                <w:b w:val="1"/>
                <w:bCs w:val="1"/>
                <w:i w:val="0"/>
                <w:iCs w:val="0"/>
                <w:smallCaps w:val="0"/>
                <w:strike w:val="0"/>
                <w:color w:val="000000"/>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Nov. 23 – Nov. 26</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 w:line="240" w:lineRule="auto"/>
              <w:ind w:left="78" w:right="70" w:firstLine="0"/>
              <w:jc w:val="center"/>
              <w:rPr>
                <w:rFonts w:ascii="Calibri" w:cs="Calibri" w:eastAsia="Calibri" w:hAnsi="Calibri"/>
                <w:b w:val="1"/>
                <w:bCs w:val="1"/>
                <w:i w:val="0"/>
                <w:iCs w:val="0"/>
                <w:smallCaps w:val="0"/>
                <w:strike w:val="0"/>
                <w:color w:val="000000"/>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Dubai, 18 guests</w:t>
            </w:r>
          </w:p>
        </w:tc>
      </w:tr>
      <w:tr>
        <w:trPr>
          <w:cantSplit w:val="0"/>
          <w:trHeight w:val="479" w:hRule="atLeast"/>
          <w:tblHeader w:val="0"/>
        </w:trPr>
        <w:tc>
          <w:tcPr>
            <w:gridSpan w:val="5"/>
            <w:tcBorders>
              <w:left w:color="000000" w:space="0" w:sz="4" w:val="single"/>
            </w:tcBorders>
            <w:shd w:fill="e2dfeb" w:val="clear"/>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78" w:right="68" w:firstLine="0"/>
              <w:jc w:val="center"/>
              <w:rPr>
                <w:rFonts w:ascii="Calibri" w:cs="Calibri" w:eastAsia="Calibri" w:hAnsi="Calibri"/>
                <w:b w:val="1"/>
                <w:bCs w:val="1"/>
                <w:i w:val="0"/>
                <w:iCs w:val="0"/>
                <w:smallCaps w:val="0"/>
                <w:strike w:val="0"/>
                <w:color w:val="000000"/>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ESTIMATED CALCULATION</w:t>
            </w:r>
          </w:p>
        </w:tc>
      </w:tr>
      <w:tr>
        <w:trPr>
          <w:cantSplit w:val="0"/>
          <w:trHeight w:val="537" w:hRule="atLeast"/>
          <w:tblHeader w:val="0"/>
        </w:trPr>
        <w:tc>
          <w:tcPr>
            <w:tcBorders>
              <w:left w:color="000000" w:space="0" w:sz="4" w:val="single"/>
            </w:tcBorders>
            <w:shd w:fill="efefef" w:val="clear"/>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Service</w:t>
            </w:r>
          </w:p>
        </w:tc>
        <w:tc>
          <w:tcPr>
            <w:shd w:fill="efefef" w:val="clear"/>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1548"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Quantity</w:t>
            </w:r>
          </w:p>
        </w:tc>
        <w:tc>
          <w:tcPr>
            <w:shd w:fill="efefef" w:val="clear"/>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54" w:lineRule="auto"/>
              <w:ind w:left="108" w:right="118"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Unit</w:t>
            </w:r>
            <w:r w:rsidDel="00000000" w:rsidR="00000000" w:rsidRPr="00000000">
              <w:rPr>
                <w:b w:val="1"/>
                <w:bCs w:val="1"/>
                <w:rtl w:val="0"/>
              </w:rPr>
              <w:t xml:space="preserve">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(nights)</w:t>
            </w:r>
          </w:p>
        </w:tc>
        <w:tc>
          <w:tcPr>
            <w:shd w:fill="efefef" w:val="clear"/>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210"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Rate</w:t>
            </w:r>
          </w:p>
        </w:tc>
        <w:tc>
          <w:tcPr>
            <w:shd w:fill="efefef" w:val="clear"/>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329"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Total in AED</w:t>
            </w:r>
          </w:p>
        </w:tc>
      </w:tr>
      <w:tr>
        <w:trPr>
          <w:cantSplit w:val="0"/>
          <w:trHeight w:val="479" w:hRule="atLeast"/>
          <w:tblHeader w:val="0"/>
        </w:trPr>
        <w:tc>
          <w:tcPr>
            <w:gridSpan w:val="5"/>
            <w:tcBorders>
              <w:left w:color="000000" w:space="0" w:sz="4" w:val="single"/>
            </w:tcBorders>
            <w:shd w:fill="e2dfeb" w:val="clear"/>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88" w:lineRule="auto"/>
              <w:ind w:left="78" w:right="69" w:firstLine="0"/>
              <w:jc w:val="center"/>
              <w:rPr>
                <w:rFonts w:ascii="Calibri" w:cs="Calibri" w:eastAsia="Calibri" w:hAnsi="Calibri"/>
                <w:b w:val="1"/>
                <w:bCs w:val="1"/>
                <w:i w:val="0"/>
                <w:iCs w:val="0"/>
                <w:smallCaps w:val="0"/>
                <w:strike w:val="0"/>
                <w:color w:val="000000"/>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HOTEL OPTIONS</w:t>
            </w:r>
          </w:p>
        </w:tc>
      </w:tr>
      <w:tr>
        <w:trPr>
          <w:cantSplit w:val="0"/>
          <w:trHeight w:val="422" w:hRule="atLeast"/>
          <w:tblHeader w:val="0"/>
        </w:trPr>
        <w:tc>
          <w:tcPr>
            <w:gridSpan w:val="5"/>
            <w:tcBorders>
              <w:left w:color="000000" w:space="0" w:sz="4" w:val="single"/>
            </w:tcBorders>
            <w:shd w:fill="e2dfeb" w:val="clear"/>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78" w:right="0" w:firstLine="0"/>
              <w:jc w:val="center"/>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83390c"/>
                <w:sz w:val="28"/>
                <w:szCs w:val="28"/>
                <w:u w:val="single"/>
                <w:shd w:fill="auto" w:val="clear"/>
                <w:vertAlign w:val="baseline"/>
                <w:rtl w:val="0"/>
              </w:rPr>
              <w:t xml:space="preserve">NH Collection Dubai the Palm </w:t>
            </w:r>
            <w:r w:rsidDel="00000000" w:rsidR="00000000" w:rsidRPr="00000000">
              <w:rPr>
                <w:rtl w:val="0"/>
              </w:rPr>
            </w:r>
          </w:p>
        </w:tc>
      </w:tr>
      <w:tr>
        <w:trPr>
          <w:cantSplit w:val="0"/>
          <w:trHeight w:val="806" w:hRule="atLeast"/>
          <w:tblHeader w:val="0"/>
        </w:trPr>
        <w:tc>
          <w:tcPr>
            <w:gridSpan w:val="5"/>
            <w:tcBorders>
              <w:left w:color="000000" w:space="0" w:sz="4" w:val="single"/>
            </w:tcBorders>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NH Collection Dubai The Palm is a modern beachfront hotel located on Palm West Beach in Palm Jumeirah, Dubai. It features 227 rooms and suites alongside 299 serviced apartments, a rooftop infinity pool, direct beach access, multiple dining venues, and a gym.</w:t>
            </w:r>
          </w:p>
        </w:tc>
      </w:tr>
      <w:tr>
        <w:trPr>
          <w:cantSplit w:val="0"/>
          <w:trHeight w:val="779" w:hRule="atLeast"/>
          <w:tblHeader w:val="0"/>
        </w:trPr>
        <w:tc>
          <w:tcPr>
            <w:tcBorders>
              <w:left w:color="000000" w:space="0" w:sz="4" w:val="single"/>
            </w:tcBorders>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9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Standard room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Nov. 23 – Nov. 26 (3 nights)</w:t>
            </w:r>
          </w:p>
        </w:tc>
        <w:tc>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3"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18</w:t>
            </w:r>
          </w:p>
        </w:tc>
        <w:tc>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7"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w:t>
            </w:r>
          </w:p>
        </w:tc>
        <w:tc>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254"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680 AED</w:t>
            </w:r>
          </w:p>
        </w:tc>
        <w:tc>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24"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36,720.00 AED</w:t>
            </w:r>
          </w:p>
        </w:tc>
      </w:tr>
      <w:tr>
        <w:trPr>
          <w:cantSplit w:val="0"/>
          <w:trHeight w:val="331" w:hRule="atLeast"/>
          <w:tblHeader w:val="0"/>
        </w:trPr>
        <w:tc>
          <w:tcPr>
            <w:gridSpan w:val="5"/>
            <w:tcBorders>
              <w:left w:color="000000" w:space="0" w:sz="4" w:val="single"/>
            </w:tcBorders>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Tax: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room rates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include: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Breakfast</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Applicable taxes and Tourism Dirhams</w:t>
            </w:r>
          </w:p>
        </w:tc>
      </w:tr>
      <w:tr>
        <w:trPr>
          <w:cantSplit w:val="0"/>
          <w:trHeight w:val="330" w:hRule="atLeast"/>
          <w:tblHeader w:val="0"/>
        </w:trPr>
        <w:tc>
          <w:tcPr>
            <w:gridSpan w:val="5"/>
            <w:tcBorders>
              <w:left w:color="000000" w:space="0" w:sz="4" w:val="single"/>
            </w:tcBorders>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Room rates are in AED per night, and include the following amenities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r>
      <w:tr>
        <w:trPr>
          <w:cantSplit w:val="0"/>
          <w:trHeight w:val="661" w:hRule="atLeast"/>
          <w:tblHeader w:val="0"/>
        </w:trPr>
        <w:tc>
          <w:tcPr>
            <w:gridSpan w:val="5"/>
            <w:tcBorders>
              <w:left w:color="000000" w:space="0" w:sz="4" w:val="single"/>
            </w:tcBorders>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07" w:right="1350" w:firstLine="0"/>
              <w:jc w:val="left"/>
              <w:rPr>
                <w:rFonts w:ascii="Calibri" w:cs="Calibri" w:eastAsia="Calibri" w:hAnsi="Calibri"/>
                <w:b w:val="1"/>
                <w:bCs w:val="1"/>
                <w:i w:val="0"/>
                <w:iCs w:val="0"/>
                <w:smallCaps w:val="0"/>
                <w:strike w:val="0"/>
                <w:color w:val="000000"/>
                <w:sz w:val="22"/>
                <w:szCs w:val="22"/>
                <w:u w:val="singl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Option date: shared option first come first served Availability of rooms and rates are limited and subject to change any time, </w:t>
            </w:r>
            <w:r w:rsidDel="00000000" w:rsidR="00000000" w:rsidRPr="00000000">
              <w:rPr>
                <w:rFonts w:ascii="Calibri" w:cs="Calibri" w:eastAsia="Calibri" w:hAnsi="Calibri"/>
                <w:b w:val="1"/>
                <w:bCs w:val="1"/>
                <w:i w:val="0"/>
                <w:iCs w:val="0"/>
                <w:smallCaps w:val="0"/>
                <w:strike w:val="0"/>
                <w:color w:val="000000"/>
                <w:sz w:val="22"/>
                <w:szCs w:val="22"/>
                <w:u w:val="single"/>
                <w:shd w:fill="auto" w:val="clear"/>
                <w:vertAlign w:val="baseline"/>
                <w:rtl w:val="0"/>
              </w:rPr>
              <w:t xml:space="preserve">rates are valid till: Aug. 8, 2026</w:t>
            </w:r>
          </w:p>
        </w:tc>
      </w:tr>
      <w:tr>
        <w:trPr>
          <w:cantSplit w:val="0"/>
          <w:trHeight w:val="282" w:hRule="atLeast"/>
          <w:tblHeader w:val="0"/>
        </w:trPr>
        <w:tc>
          <w:tcPr>
            <w:gridSpan w:val="5"/>
            <w:tcBorders>
              <w:left w:color="000000" w:space="0" w:sz="4" w:val="single"/>
            </w:tcBorders>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422" w:hRule="atLeast"/>
          <w:tblHeader w:val="0"/>
        </w:trPr>
        <w:tc>
          <w:tcPr>
            <w:gridSpan w:val="5"/>
            <w:tcBorders>
              <w:left w:color="000000" w:space="0" w:sz="4" w:val="single"/>
            </w:tcBorders>
            <w:shd w:fill="e2dfeb" w:val="clear"/>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40" w:lineRule="auto"/>
              <w:ind w:left="107" w:right="0" w:firstLine="0"/>
              <w:jc w:val="left"/>
              <w:rPr>
                <w:rFonts w:ascii="Calibri" w:cs="Calibri" w:eastAsia="Calibri" w:hAnsi="Calibri"/>
                <w:b w:val="0"/>
                <w:bCs w:val="0"/>
                <w:i w:val="1"/>
                <w:iCs w:val="1"/>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Transportation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with 35-seater Luxury Coach</w:t>
            </w:r>
          </w:p>
        </w:tc>
      </w:tr>
      <w:tr>
        <w:trPr>
          <w:cantSplit w:val="0"/>
          <w:trHeight w:val="537" w:hRule="atLeast"/>
          <w:tblHeader w:val="0"/>
        </w:trPr>
        <w:tc>
          <w:tcPr>
            <w:tcBorders>
              <w:left w:color="000000" w:space="0" w:sz="4" w:val="single"/>
            </w:tcBorders>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 w:line="240" w:lineRule="auto"/>
              <w:ind w:left="439"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Airport transfer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airport - hotel with meet &amp; greet</w:t>
            </w:r>
          </w:p>
        </w:tc>
        <w:tc>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 w:line="240" w:lineRule="auto"/>
              <w:ind w:left="15" w:right="93"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 w:line="240" w:lineRule="auto"/>
              <w:ind w:left="0" w:right="77"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6" w:line="240" w:lineRule="auto"/>
              <w:ind w:left="0" w:right="249"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675 AED</w:t>
            </w:r>
          </w:p>
        </w:tc>
        <w:tc>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 w:line="240" w:lineRule="auto"/>
              <w:ind w:left="588"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675 AED</w:t>
            </w:r>
          </w:p>
        </w:tc>
      </w:tr>
      <w:tr>
        <w:trPr>
          <w:cantSplit w:val="0"/>
          <w:trHeight w:val="537" w:hRule="atLeast"/>
          <w:tblHeader w:val="0"/>
        </w:trPr>
        <w:tc>
          <w:tcPr>
            <w:tcBorders>
              <w:left w:color="000000" w:space="0" w:sz="4" w:val="single"/>
            </w:tcBorders>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 w:line="240" w:lineRule="auto"/>
              <w:ind w:left="1471"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Half day (Dubai – 5 hours)</w:t>
            </w:r>
          </w:p>
        </w:tc>
        <w:tc>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 w:line="240" w:lineRule="auto"/>
              <w:ind w:left="15" w:right="93"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 w:line="240" w:lineRule="auto"/>
              <w:ind w:left="0" w:right="77"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6" w:line="240" w:lineRule="auto"/>
              <w:ind w:left="0" w:right="249"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750 AED</w:t>
            </w:r>
          </w:p>
        </w:tc>
        <w:tc>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 w:line="240" w:lineRule="auto"/>
              <w:ind w:left="593"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750 AED</w:t>
            </w:r>
          </w:p>
        </w:tc>
      </w:tr>
      <w:tr>
        <w:trPr>
          <w:cantSplit w:val="0"/>
          <w:trHeight w:val="537" w:hRule="atLeast"/>
          <w:tblHeader w:val="0"/>
        </w:trPr>
        <w:tc>
          <w:tcPr>
            <w:tcBorders>
              <w:left w:color="000000" w:space="0" w:sz="4" w:val="single"/>
            </w:tcBorders>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 w:line="240" w:lineRule="auto"/>
              <w:ind w:left="1812"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Airport Departure</w:t>
            </w:r>
          </w:p>
        </w:tc>
        <w:tc>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 w:line="240" w:lineRule="auto"/>
              <w:ind w:left="15" w:right="93"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 w:line="240" w:lineRule="auto"/>
              <w:ind w:left="0" w:right="77"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6" w:line="240" w:lineRule="auto"/>
              <w:ind w:left="0" w:right="249"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450 AED</w:t>
            </w:r>
          </w:p>
        </w:tc>
        <w:tc>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 w:line="240" w:lineRule="auto"/>
              <w:ind w:left="588"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450 AED</w:t>
            </w:r>
          </w:p>
        </w:tc>
      </w:tr>
    </w:tbl>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sectPr>
          <w:pgSz w:h="16850" w:w="11900" w:orient="portrait"/>
          <w:pgMar w:bottom="280" w:top="1940" w:left="0" w:right="0" w:header="360" w:footer="360"/>
          <w:pgNumType w:start="1"/>
        </w:sectPr>
      </w:pPr>
      <w:r w:rsidDel="00000000" w:rsidR="00000000" w:rsidRPr="00000000">
        <w:rPr>
          <w:rtl w:val="0"/>
        </w:rPr>
      </w:r>
    </w:p>
    <w:p w:rsidR="00000000" w:rsidDel="00000000" w:rsidP="00000000" w:rsidRDefault="00000000" w:rsidRPr="00000000" w14:paraId="00000059">
      <w:pPr>
        <w:spacing w:after="0" w:before="88" w:line="240" w:lineRule="auto"/>
        <w:ind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anchor allowOverlap="1" behindDoc="1" distB="0" distT="0" distL="0" distR="0" hidden="0" layoutInCell="1" locked="0" relativeHeight="0" simplePos="0">
            <wp:simplePos x="0" y="0"/>
            <wp:positionH relativeFrom="page">
              <wp:posOffset>0</wp:posOffset>
            </wp:positionH>
            <wp:positionV relativeFrom="page">
              <wp:posOffset>581660</wp:posOffset>
            </wp:positionV>
            <wp:extent cx="7555737" cy="9799955"/>
            <wp:effectExtent b="0" l="0" r="0" t="0"/>
            <wp:wrapNone/>
            <wp:docPr id="2"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7555737" cy="9799955"/>
                    </a:xfrm>
                    <a:prstGeom prst="rect"/>
                    <a:ln/>
                  </pic:spPr>
                </pic:pic>
              </a:graphicData>
            </a:graphic>
          </wp:anchor>
        </w:drawing>
      </w:r>
      <w:r w:rsidDel="00000000" w:rsidR="00000000" w:rsidRPr="00000000">
        <w:rPr>
          <w:rtl w:val="0"/>
        </w:rPr>
      </w:r>
    </w:p>
    <w:tbl>
      <w:tblPr>
        <w:tblStyle w:val="Table2"/>
        <w:tblW w:w="11550.0" w:type="dxa"/>
        <w:jc w:val="left"/>
        <w:tblInd w:w="15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680"/>
        <w:gridCol w:w="1260"/>
        <w:gridCol w:w="1080"/>
        <w:gridCol w:w="1530"/>
        <w:tblGridChange w:id="0">
          <w:tblGrid>
            <w:gridCol w:w="7680"/>
            <w:gridCol w:w="1260"/>
            <w:gridCol w:w="1080"/>
            <w:gridCol w:w="1530"/>
          </w:tblGrid>
        </w:tblGridChange>
      </w:tblGrid>
      <w:tr>
        <w:trPr>
          <w:cantSplit w:val="0"/>
          <w:trHeight w:val="292" w:hRule="atLeast"/>
          <w:tblHeader w:val="0"/>
        </w:trPr>
        <w:tc>
          <w:tcPr>
            <w:gridSpan w:val="4"/>
            <w:tcBorders>
              <w:left w:color="000000" w:space="0" w:sz="4" w:val="single"/>
            </w:tcBorders>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417" w:hRule="atLeast"/>
          <w:tblHeader w:val="0"/>
        </w:trPr>
        <w:tc>
          <w:tcPr>
            <w:gridSpan w:val="4"/>
            <w:tcBorders>
              <w:left w:color="000000" w:space="0" w:sz="4" w:val="single"/>
            </w:tcBorders>
            <w:shd w:fill="e2dfeb" w:val="clear"/>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180" w:right="0" w:firstLine="0"/>
              <w:jc w:val="left"/>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Tours</w:t>
            </w:r>
          </w:p>
        </w:tc>
      </w:tr>
      <w:tr>
        <w:trPr>
          <w:cantSplit w:val="0"/>
          <w:trHeight w:val="537" w:hRule="atLeast"/>
          <w:tblHeader w:val="0"/>
        </w:trPr>
        <w:tc>
          <w:tcPr>
            <w:tcBorders>
              <w:left w:color="000000" w:space="0" w:sz="4" w:val="single"/>
            </w:tcBorders>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0" w:lineRule="auto"/>
              <w:ind w:left="2"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Bohemia Beach Club: All Inclusive. Without transfer. Per person</w:t>
            </w:r>
          </w:p>
        </w:tc>
        <w:tc>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 w:line="240" w:lineRule="auto"/>
              <w:ind w:left="4" w:right="83"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 w:line="240" w:lineRule="auto"/>
              <w:ind w:left="7" w:right="86"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 w:line="240" w:lineRule="auto"/>
              <w:ind w:left="5" w:right="101"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350 AED</w:t>
            </w:r>
          </w:p>
        </w:tc>
      </w:tr>
      <w:tr>
        <w:trPr>
          <w:cantSplit w:val="0"/>
          <w:trHeight w:val="1742" w:hRule="atLeast"/>
          <w:tblHeader w:val="0"/>
        </w:trPr>
        <w:tc>
          <w:tcPr>
            <w:tcBorders>
              <w:left w:color="000000" w:space="0" w:sz="4" w:val="single"/>
            </w:tcBorders>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1" w:lineRule="auto"/>
              <w:ind w:left="2"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Buggy Experience.</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0" w:lineRule="auto"/>
              <w:ind w:left="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Private 4x4 pickup with dedicated safari guide</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3" w:lineRule="auto"/>
              <w:ind w:left="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Dune bashing, followed by guided dune buggy adventure, sandboarding, and a scenic photo point</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18" w:lineRule="auto"/>
              <w:ind w:left="2" w:right="1653"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Private desert dinner with live BBQ and bonfire under the stars Return transfer by 4x4 car. Max. 6 pax in each car – total 3 cars</w:t>
            </w:r>
          </w:p>
        </w:tc>
        <w:tc>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83"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1760 AED</w:t>
            </w:r>
          </w:p>
        </w:tc>
        <w:tc>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86"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18</w:t>
            </w:r>
          </w:p>
        </w:tc>
        <w:tc>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101"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31680 AED</w:t>
            </w:r>
          </w:p>
        </w:tc>
      </w:tr>
      <w:tr>
        <w:trPr>
          <w:cantSplit w:val="0"/>
          <w:trHeight w:val="3245" w:hRule="atLeast"/>
          <w:tblHeader w:val="0"/>
        </w:trPr>
        <w:tc>
          <w:tcPr>
            <w:tcBorders>
              <w:left w:color="000000" w:space="0" w:sz="4" w:val="single"/>
            </w:tcBorders>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3" w:lineRule="auto"/>
              <w:ind w:left="2" w:right="2849" w:firstLine="0"/>
              <w:jc w:val="left"/>
              <w:rPr>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Talise Ottoman Spa.</w:t>
            </w:r>
            <w:r w:rsidDel="00000000" w:rsidR="00000000" w:rsidRPr="00000000">
              <w:rPr>
                <w:b w:val="1"/>
                <w:bCs w:val="1"/>
                <w:rtl w:val="0"/>
              </w:rPr>
              <w:t xml:space="preserve">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Per person </w:t>
            </w:r>
            <w:r w:rsidDel="00000000" w:rsidR="00000000" w:rsidRPr="00000000">
              <w:rPr>
                <w:i w:val="0"/>
                <w:iCs w:val="0"/>
                <w:smallCaps w:val="0"/>
                <w:strike w:val="0"/>
                <w:color w:val="000000"/>
                <w:sz w:val="22"/>
                <w:szCs w:val="22"/>
                <w:u w:val="none"/>
                <w:shd w:fill="auto" w:val="clear"/>
                <w:vertAlign w:val="baseline"/>
                <w:rtl w:val="0"/>
              </w:rPr>
              <w:t xml:space="preserve">Royal Ottoman - Talise Signature 60 min</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20" w:lineRule="auto"/>
              <w:ind w:left="2" w:right="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Turkish </w:t>
            </w:r>
            <w:r w:rsidDel="00000000" w:rsidR="00000000" w:rsidRPr="00000000">
              <w:rPr>
                <w:rtl w:val="0"/>
              </w:rPr>
              <w:t xml:space="preserve">Elegance: Relax</w:t>
            </w:r>
            <w:r w:rsidDel="00000000" w:rsidR="00000000" w:rsidRPr="00000000">
              <w:rPr>
                <w:i w:val="0"/>
                <w:iCs w:val="0"/>
                <w:smallCaps w:val="0"/>
                <w:strike w:val="0"/>
                <w:color w:val="000000"/>
                <w:sz w:val="22"/>
                <w:szCs w:val="22"/>
                <w:u w:val="none"/>
                <w:shd w:fill="auto" w:val="clear"/>
                <w:vertAlign w:val="baseline"/>
                <w:rtl w:val="0"/>
              </w:rPr>
              <w:t xml:space="preserve"> in the elegance of the hammam as the heat and delicate aromas prepare you for the traditional ‘Kese’ mitt body polish and foam massage. Savor the warm glow from the marble as your hair is shampooed and your scalp is massaged, followed by a moisturizing conditioner. Your body is then enveloped in a honey mask to revitalize and hydrate your complexion.</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0" w:lineRule="auto"/>
              <w:ind w:left="2"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Remarks</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3" w:lineRule="auto"/>
              <w:ind w:left="2" w:right="103"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Please note that the Hammam follows a strict gender policy: male therapists attend to male guests, and female therapists attend to female guests. The Hammam area is a shared space with other guests, featuring a common marble platform in a warm environment.</w:t>
            </w:r>
          </w:p>
        </w:tc>
        <w:tc>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3"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1065 AED</w:t>
            </w:r>
          </w:p>
        </w:tc>
        <w:tc>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 w:right="86"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1"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1065 AED</w:t>
            </w:r>
          </w:p>
        </w:tc>
      </w:tr>
      <w:tr>
        <w:trPr>
          <w:cantSplit w:val="0"/>
          <w:trHeight w:val="330" w:hRule="atLeast"/>
          <w:tblHeader w:val="0"/>
        </w:trPr>
        <w:tc>
          <w:tcPr>
            <w:gridSpan w:val="4"/>
            <w:tcBorders>
              <w:left w:color="000000" w:space="0" w:sz="4" w:val="single"/>
            </w:tcBorders>
            <w:shd w:fill="e2dfeb" w:val="clea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81"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Points to note</w:t>
            </w:r>
          </w:p>
        </w:tc>
      </w:tr>
      <w:tr>
        <w:trPr>
          <w:cantSplit w:val="0"/>
          <w:trHeight w:val="564" w:hRule="atLeast"/>
          <w:tblHeader w:val="0"/>
        </w:trPr>
        <w:tc>
          <w:tcPr>
            <w:gridSpan w:val="4"/>
            <w:tcBorders>
              <w:left w:color="000000" w:space="0" w:sz="4" w:val="single"/>
              <w:bottom w:color="000000" w:space="0" w:sz="0" w:val="nil"/>
            </w:tcBorders>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This proposal is based on the requested period, length of stay, program, and number of rooms. In case of any changes, the</w:t>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conditions are subject to change.</w:t>
            </w:r>
          </w:p>
        </w:tc>
      </w:tr>
      <w:tr>
        <w:trPr>
          <w:cantSplit w:val="0"/>
          <w:trHeight w:val="297" w:hRule="atLeast"/>
          <w:tblHeader w:val="0"/>
        </w:trPr>
        <w:tc>
          <w:tcPr>
            <w:gridSpan w:val="4"/>
            <w:tcBorders>
              <w:top w:color="000000" w:space="0" w:sz="0" w:val="nil"/>
              <w:left w:color="000000" w:space="0" w:sz="4" w:val="single"/>
              <w:bottom w:color="000000" w:space="0" w:sz="0" w:val="nil"/>
            </w:tcBorders>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3" w:lineRule="auto"/>
              <w:ind w:left="11"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As this is an exceptionally busy period, we are unfortunately unable to guarantee the quoted prices.</w:t>
            </w:r>
          </w:p>
        </w:tc>
      </w:tr>
      <w:tr>
        <w:trPr>
          <w:cantSplit w:val="0"/>
          <w:trHeight w:val="324" w:hRule="atLeast"/>
          <w:tblHeader w:val="0"/>
        </w:trPr>
        <w:tc>
          <w:tcPr>
            <w:tcBorders>
              <w:top w:color="000000" w:space="0" w:sz="0" w:val="nil"/>
              <w:left w:color="000000" w:space="0" w:sz="4" w:val="single"/>
              <w:bottom w:color="000000" w:space="0" w:sz="0" w:val="nil"/>
              <w:right w:color="000000" w:space="0" w:sz="0" w:val="nil"/>
            </w:tcBorders>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Our proposal was prepared exclusively for you.</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0" w:val="nil"/>
              <w:left w:color="000000" w:space="0" w:sz="0" w:val="nil"/>
              <w:bottom w:color="000000" w:space="0" w:sz="0" w:val="nil"/>
            </w:tcBorders>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28" w:hRule="atLeast"/>
          <w:tblHeader w:val="0"/>
        </w:trPr>
        <w:tc>
          <w:tcPr>
            <w:gridSpan w:val="4"/>
            <w:tcBorders>
              <w:top w:color="000000" w:space="0" w:sz="0" w:val="nil"/>
              <w:left w:color="000000" w:space="0" w:sz="4" w:val="single"/>
              <w:bottom w:color="000000" w:space="0" w:sz="0" w:val="nil"/>
            </w:tcBorders>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11"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Disclosure of this proposal or its parts to a third party other than your final client is strictly prohibited</w:t>
            </w:r>
          </w:p>
        </w:tc>
      </w:tr>
      <w:tr>
        <w:trPr>
          <w:cantSplit w:val="0"/>
          <w:trHeight w:val="338" w:hRule="atLeast"/>
          <w:tblHeader w:val="0"/>
        </w:trPr>
        <w:tc>
          <w:tcPr>
            <w:gridSpan w:val="4"/>
            <w:tcBorders>
              <w:top w:color="000000" w:space="0" w:sz="0" w:val="nil"/>
              <w:left w:color="000000" w:space="0" w:sz="4" w:val="single"/>
            </w:tcBorders>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11"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References from our clients can be provided upon request.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Rates are subject to change at the time of final confirmation.</w:t>
            </w:r>
          </w:p>
        </w:tc>
      </w:tr>
    </w:tbl>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sectPr>
      <w:type w:val="nextPage"/>
      <w:pgSz w:h="16850" w:w="11900" w:orient="portrait"/>
      <w:pgMar w:bottom="280" w:top="1940" w:left="0" w:right="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lpwstr>2026-08-06T00:00:00Z</vt:lpwstr>
  </property>
  <property fmtid="{D5CDD505-2E9C-101B-9397-08002B2CF9AE}" pid="4" name="Creator">
    <vt:lpwstr>Microsoft® Word 2021</vt:lpwstr>
  </property>
  <property fmtid="{D5CDD505-2E9C-101B-9397-08002B2CF9AE}" pid="5" name="LastSaved">
    <vt:lpwstr>2026-08-06T00:00:00Z</vt:lpwstr>
  </property>
  <property fmtid="{D5CDD505-2E9C-101B-9397-08002B2CF9AE}" pid="6" name="Producer">
    <vt:lpwstr>Microsoft® Word 2021</vt:lpwstr>
  </property>
</Properties>
</file>