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EF264">
      <w:pPr>
        <w:pStyle w:val="31"/>
        <w:jc w:val="center"/>
      </w:pPr>
      <w:bookmarkStart w:id="0" w:name="_GoBack"/>
      <w:bookmarkEnd w:id="0"/>
      <w:r>
        <w:rPr>
          <w:b/>
          <w:color w:val="1F4E79"/>
          <w:sz w:val="44"/>
        </w:rPr>
        <w:t>Experiment Manual II</w:t>
      </w:r>
    </w:p>
    <w:p w14:paraId="00E558CC">
      <w:pPr>
        <w:jc w:val="center"/>
      </w:pPr>
      <w:r>
        <w:rPr>
          <w:i/>
          <w:color w:val="4F4F4F"/>
          <w:sz w:val="22"/>
        </w:rPr>
        <w:t>MEC-aware link selection — Random Forest estimation and GMAPPO comparison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BD4C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C4AFF9">
            <w:pPr>
              <w:spacing w:after="0" w:line="276" w:lineRule="auto"/>
            </w:pPr>
            <w:r>
              <w:rPr>
                <w:b/>
              </w:rPr>
              <w:t xml:space="preserve">Use this manual to execute the fixed experiments exactly as defined in the thesis. </w:t>
            </w:r>
            <w:r>
              <w:t>The manual specifies what to vary, what to hold fixed, what to log, what to average, and which final figures/tables must be produced. Algorithm internals are intentionally excluded.</w:t>
            </w:r>
          </w:p>
        </w:tc>
      </w:tr>
    </w:tbl>
    <w:p w14:paraId="049B825E"/>
    <w:p w14:paraId="4936B832">
      <w:pPr>
        <w:pStyle w:val="3"/>
      </w:pPr>
      <w:r>
        <w:t>1. Purpose and final outputs</w:t>
      </w:r>
    </w:p>
    <w:p w14:paraId="3A4B2386">
      <w:pPr>
        <w:pStyle w:val="16"/>
      </w:pPr>
      <w:r>
        <w:t>This manual executes only the experiments required for Research Content 2. It treats the selectable object as an end-to-end service path from source buoy to terrestrial sink, not as a single hop.</w:t>
      </w:r>
    </w:p>
    <w:p w14:paraId="0DA761F7">
      <w:pPr>
        <w:pStyle w:val="16"/>
      </w:pPr>
      <w:r>
        <w:t>Final deliverables from this manual: one Random-Forest effectiveness chart, one reward-curve chart for GMAPPO under different learning rates, and two line charts of Link Advantage under different experimental conditions.</w:t>
      </w:r>
    </w:p>
    <w:p w14:paraId="38F17EC6">
      <w:pPr>
        <w:pStyle w:val="16"/>
      </w:pPr>
      <w:r>
        <w:t>All path metrics must be built from the same common PHY quantities used in the thesis.</w:t>
      </w:r>
    </w:p>
    <w:p w14:paraId="5AECB9A0">
      <w:pPr>
        <w:pStyle w:val="3"/>
      </w:pPr>
      <w:r>
        <w:t>2. Locked formulas for this manual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FD85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7D786">
            <w:pPr>
              <w:spacing w:after="40" w:line="264" w:lineRule="auto"/>
            </w:pPr>
            <w:r>
              <w:rPr>
                <w:b/>
              </w:rPr>
              <w:t>Keep the following definitions identical to the thesis.</w:t>
            </w:r>
          </w:p>
          <w:p w14:paraId="07D6A368">
            <w:pPr>
              <w:spacing w:after="40" w:line="264" w:lineRule="auto"/>
            </w:pPr>
            <w:r>
              <w:t>P_sig,ij(t) = P_tx,j(t) · G_tx,j · G_rx,i · 10^(-PL_ij(t)/10) · |g_ij(t)|^2</w:t>
            </w:r>
          </w:p>
          <w:p w14:paraId="36BCA2AF">
            <w:pPr>
              <w:spacing w:after="40" w:line="264" w:lineRule="auto"/>
            </w:pPr>
            <w:r>
              <w:t>RSSI_ij(t) = P_sig,ij(t) + I_i(t) + N_env,i(t)</w:t>
            </w:r>
          </w:p>
          <w:p w14:paraId="57AED3FD">
            <w:pPr>
              <w:spacing w:after="40" w:line="264" w:lineRule="auto"/>
            </w:pPr>
            <w:r>
              <w:t>SNR_ij(t) = P_sig,ij(t) / N_env,i(t),   SINR_ij(t) = P_sig,ij(t) / (I_i(t) + N_env,i(t))</w:t>
            </w:r>
          </w:p>
          <w:p w14:paraId="17778EB6">
            <w:pPr>
              <w:spacing w:after="40" w:line="264" w:lineRule="auto"/>
            </w:pPr>
            <w:r>
              <w:t>Q_ij(t) = PRRhat_ij(t)</w:t>
            </w:r>
          </w:p>
          <w:p w14:paraId="7F961127">
            <w:pPr>
              <w:spacing w:after="40" w:line="264" w:lineRule="auto"/>
            </w:pPr>
            <w:r>
              <w:t>LET_ij(t) = +∞ if ||Δv_ij|| = 0 and d_ij &lt; R_comm, else the positive root of ||Δp_ij + τΔv_ij||² = R_comm²</w:t>
            </w:r>
          </w:p>
          <w:p w14:paraId="720BC698">
            <w:pPr>
              <w:spacing w:after="40" w:line="264" w:lineRule="auto"/>
            </w:pPr>
            <w:r>
              <w:t>P_surv,ij(t;τ_req) ≈ ∏_{n=1}^{N_p} Φ((μ_gamma,ij(t+n) − gamma_ho) / sigma_gamma,ij(t+n))</w:t>
            </w:r>
          </w:p>
          <w:p w14:paraId="5CBA0752">
            <w:pPr>
              <w:spacing w:after="40" w:line="264" w:lineRule="auto"/>
            </w:pPr>
            <w:r>
              <w:t>S_HO,ij(t) = (1 − exp(−LET_ij(t)/τ_req)) · P_surv,ij(t;τ_req)</w:t>
            </w:r>
          </w:p>
          <w:p w14:paraId="1002503E">
            <w:pPr>
              <w:spacing w:after="40" w:line="264" w:lineRule="auto"/>
            </w:pPr>
            <w:r>
              <w:t>Q_pi(t) = (∏_{(u,v)∈π} Q_uv(t))^(1/|π|),   S_pi(t) = (∏_{(u,v)∈π} S_HO,uv(t))^(1/|π|)</w:t>
            </w:r>
          </w:p>
          <w:p w14:paraId="7E8AE682">
            <w:pPr>
              <w:spacing w:after="40" w:line="264" w:lineRule="auto"/>
            </w:pPr>
            <w:r>
              <w:t>LA_pi(t) = w_Q · Q_pi(t) + w_S · S_pi(t),   w_Q + w_S = 1</w:t>
            </w:r>
          </w:p>
        </w:tc>
      </w:tr>
    </w:tbl>
    <w:p w14:paraId="343EB18A"/>
    <w:p w14:paraId="475299A0">
      <w:pPr>
        <w:pStyle w:val="3"/>
      </w:pPr>
      <w:r>
        <w:t>3. Fixed setup before execution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A84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0DCEC">
            <w:pPr>
              <w:spacing w:after="0" w:line="240" w:lineRule="auto"/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w="4873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9C70B">
            <w:pPr>
              <w:spacing w:after="0" w:line="240" w:lineRule="auto"/>
              <w:jc w:val="center"/>
            </w:pPr>
            <w:r>
              <w:rPr>
                <w:b/>
              </w:rPr>
              <w:t>Locked setting</w:t>
            </w:r>
          </w:p>
        </w:tc>
      </w:tr>
      <w:tr w14:paraId="53DF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B2253">
            <w:pPr>
              <w:spacing w:after="0" w:line="240" w:lineRule="auto"/>
            </w:pPr>
            <w:r>
              <w:t>Node count default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C18BBD">
            <w:pPr>
              <w:spacing w:after="0" w:line="240" w:lineRule="auto"/>
            </w:pPr>
            <w:r>
              <w:t>N_total = 120 unless the experiment varies it.</w:t>
            </w:r>
          </w:p>
        </w:tc>
      </w:tr>
      <w:tr w14:paraId="470D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1326E">
            <w:pPr>
              <w:spacing w:after="0" w:line="240" w:lineRule="auto"/>
            </w:pPr>
            <w:r>
              <w:t>Node-count sweep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7F97C">
            <w:pPr>
              <w:spacing w:after="0" w:line="240" w:lineRule="auto"/>
            </w:pPr>
            <w:r>
              <w:t>N_total ∈ {40, 80, 120, 160, 200}; class fractions remain fixed.</w:t>
            </w:r>
          </w:p>
        </w:tc>
      </w:tr>
      <w:tr w14:paraId="02B3F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2AB2C">
            <w:pPr>
              <w:spacing w:after="0" w:line="240" w:lineRule="auto"/>
            </w:pPr>
            <w:r>
              <w:t>Channel-condition sweep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38D93">
            <w:pPr>
              <w:spacing w:after="0" w:line="240" w:lineRule="auto"/>
            </w:pPr>
            <w:r>
              <w:t>eta_ch ∈ {0.75, 1.0, 1.25, 1.5}; node mobility remains active.</w:t>
            </w:r>
          </w:p>
        </w:tc>
      </w:tr>
      <w:tr w14:paraId="53686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4A1AD">
            <w:pPr>
              <w:spacing w:after="0" w:line="240" w:lineRule="auto"/>
            </w:pPr>
            <w:r>
              <w:t>Candidate-neighbor cap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AA02F">
            <w:pPr>
              <w:spacing w:after="0" w:line="240" w:lineRule="auto"/>
            </w:pPr>
            <w:r>
              <w:t>K_nbr = 8 after received-power prefilter.</w:t>
            </w:r>
          </w:p>
        </w:tc>
      </w:tr>
      <w:tr w14:paraId="40969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A1AF1">
            <w:pPr>
              <w:spacing w:after="0" w:line="240" w:lineRule="auto"/>
            </w:pPr>
            <w:r>
              <w:t>Probe dataset size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71A6C">
            <w:pPr>
              <w:spacing w:after="0" w:line="240" w:lineRule="auto"/>
            </w:pPr>
            <w:r>
              <w:t>N_probe = 20,000 packets per channel regime; acceptable range 10k–50k.</w:t>
            </w:r>
          </w:p>
        </w:tc>
      </w:tr>
      <w:tr w14:paraId="402F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82693">
            <w:pPr>
              <w:spacing w:after="0" w:line="240" w:lineRule="auto"/>
            </w:pPr>
            <w:r>
              <w:t>Probe packet length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68A5A">
            <w:pPr>
              <w:spacing w:after="0" w:line="240" w:lineRule="auto"/>
            </w:pPr>
            <w:r>
              <w:t>L_pkt = 1024 bit.</w:t>
            </w:r>
          </w:p>
        </w:tc>
      </w:tr>
      <w:tr w14:paraId="2EA2D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AFB1C">
            <w:pPr>
              <w:spacing w:after="0" w:line="240" w:lineRule="auto"/>
            </w:pPr>
            <w:r>
              <w:t>Path weights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A289D">
            <w:pPr>
              <w:spacing w:after="0" w:line="240" w:lineRule="auto"/>
            </w:pPr>
            <w:r>
              <w:t>w_Q = 0.6, w_S = 0.4 unless the optional ablation is run.</w:t>
            </w:r>
          </w:p>
        </w:tc>
      </w:tr>
      <w:tr w14:paraId="67E2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8FA4B">
            <w:pPr>
              <w:spacing w:after="0" w:line="240" w:lineRule="auto"/>
            </w:pPr>
            <w:r>
              <w:t>Switching penalty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266A0">
            <w:pPr>
              <w:spacing w:after="0" w:line="240" w:lineRule="auto"/>
            </w:pPr>
            <w:r>
              <w:t>eta_sw = 0.05.</w:t>
            </w:r>
          </w:p>
        </w:tc>
      </w:tr>
      <w:tr w14:paraId="3A682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B2FAB">
            <w:pPr>
              <w:spacing w:after="0" w:line="240" w:lineRule="auto"/>
            </w:pPr>
            <w:r>
              <w:t>Learning-rate sweep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CC267">
            <w:pPr>
              <w:spacing w:after="0" w:line="240" w:lineRule="auto"/>
            </w:pPr>
            <w:r>
              <w:t>{1e-4, 3e-4, 1e-3}.</w:t>
            </w:r>
          </w:p>
        </w:tc>
      </w:tr>
      <w:tr w14:paraId="1685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DAF7F">
            <w:pPr>
              <w:spacing w:after="0" w:line="240" w:lineRule="auto"/>
            </w:pPr>
            <w:r>
              <w:t>Training simplifications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9BE4C">
            <w:pPr>
              <w:spacing w:after="0" w:line="240" w:lineRule="auto"/>
            </w:pPr>
            <w:r>
              <w:t>Use two GCN layers; enumerate only feasible local choices and at most the top K_sat relay combinations.</w:t>
            </w:r>
          </w:p>
        </w:tc>
      </w:tr>
    </w:tbl>
    <w:p w14:paraId="1CA42DB9"/>
    <w:p w14:paraId="614B5056">
      <w:pPr>
        <w:pStyle w:val="3"/>
      </w:pPr>
      <w:r>
        <w:t>4. Required logs for every run</w:t>
      </w:r>
    </w:p>
    <w:p w14:paraId="20FC28B6">
      <w:pPr>
        <w:pStyle w:val="16"/>
      </w:pPr>
      <w:r>
        <w:t>Per probe sample: RSSI, SNR, SINR, LQI, rolling means/variances, Doppler, pair type, dwell history, ACK count, probe count, empirical PRR label.</w:t>
      </w:r>
    </w:p>
    <w:p w14:paraId="533FB71E">
      <w:pPr>
        <w:pStyle w:val="16"/>
      </w:pPr>
      <w:r>
        <w:t>Per evaluation window: Q_pi, S_pi, LA_pi, number of switches, number of outages, number of invalid actions, selected path ID, and active node count.</w:t>
      </w:r>
    </w:p>
    <w:p w14:paraId="6F74A2B0">
      <w:pPr>
        <w:pStyle w:val="16"/>
      </w:pPr>
      <w:r>
        <w:t>Per episode for GMAPPO: mean reward, convergence step, mean LA_pi, switch count, outage count.</w:t>
      </w:r>
    </w:p>
    <w:p w14:paraId="7FB2E119">
      <w:pPr>
        <w:pStyle w:val="3"/>
      </w:pPr>
      <w:r>
        <w:t>5. Experiment block P — offline Random Forest estimator stage</w:t>
      </w:r>
    </w:p>
    <w:p w14:paraId="3C1AF806">
      <w:pPr>
        <w:pStyle w:val="14"/>
      </w:pPr>
      <w:r>
        <w:t>Run the environment in probe mode with the policy frozen. No GMAPPO optimization is active in this stage.</w:t>
      </w:r>
    </w:p>
    <w:p w14:paraId="57DD5AEB">
      <w:pPr>
        <w:pStyle w:val="14"/>
      </w:pPr>
      <w:r>
        <w:t>Collect labeled probe samples separately across the intended channel regimes and link classes.</w:t>
      </w:r>
    </w:p>
    <w:p w14:paraId="6B815FC7">
      <w:pPr>
        <w:pStyle w:val="14"/>
      </w:pPr>
      <w:r>
        <w:t>Form training vectors x_k = [RSSI, SNR, SINR, LQI, rolling means and variances, Doppler, pair type, dwell history] and labels y_k = PRR_emp,k.</w:t>
      </w:r>
    </w:p>
    <w:p w14:paraId="436CA0E0">
      <w:pPr>
        <w:pStyle w:val="14"/>
      </w:pPr>
      <w:r>
        <w:t>Train one Random Forest regressor per link class, then calibrate each with isotonic regression so outputs stay probability-like in [0, 1].</w:t>
      </w:r>
    </w:p>
    <w:p w14:paraId="40CCFC79">
      <w:pPr>
        <w:pStyle w:val="14"/>
      </w:pPr>
      <w:r>
        <w:t>Validate using blocked K-fold splits over time and across link classes to avoid temporal leakage.</w:t>
      </w:r>
    </w:p>
    <w:p w14:paraId="0EF6F3CC">
      <w:pPr>
        <w:pStyle w:val="14"/>
      </w:pPr>
      <w:r>
        <w:t>Export one effectiveness figure based on validation predictions.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693A0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331C2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484E8">
            <w:pPr>
              <w:spacing w:after="0" w:line="240" w:lineRule="auto"/>
              <w:jc w:val="center"/>
            </w:pPr>
            <w:r>
              <w:rPr>
                <w:b/>
              </w:rPr>
              <w:t>Required figure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90760">
            <w:pPr>
              <w:spacing w:after="0" w:line="240" w:lineRule="auto"/>
              <w:jc w:val="center"/>
            </w:pPr>
            <w:r>
              <w:rPr>
                <w:b/>
              </w:rPr>
              <w:t>Recommended 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297F9">
            <w:pPr>
              <w:spacing w:after="0" w:line="240" w:lineRule="auto"/>
              <w:jc w:val="center"/>
            </w:pPr>
            <w:r>
              <w:rPr>
                <w:b/>
              </w:rPr>
              <w:t>Recommended 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237ED">
            <w:pPr>
              <w:spacing w:after="0" w:line="240" w:lineRule="auto"/>
              <w:jc w:val="center"/>
            </w:pPr>
            <w:r>
              <w:rPr>
                <w:b/>
              </w:rPr>
              <w:t>Purpose</w:t>
            </w:r>
          </w:p>
        </w:tc>
      </w:tr>
      <w:tr w14:paraId="48EAD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4372E">
            <w:pPr>
              <w:spacing w:after="0" w:line="240" w:lineRule="auto"/>
              <w:jc w:val="left"/>
            </w:pPr>
            <w:r>
              <w:t>Figure 1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7707F">
            <w:pPr>
              <w:spacing w:after="0" w:line="240" w:lineRule="auto"/>
              <w:jc w:val="left"/>
            </w:pPr>
            <w:r>
              <w:t>Metric correlation / effectiveness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6DD01">
            <w:pPr>
              <w:spacing w:after="0" w:line="240" w:lineRule="auto"/>
              <w:jc w:val="left"/>
            </w:pPr>
            <w:r>
              <w:t>Measured PRR_emp or feature-importance ranking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1C69E">
            <w:pPr>
              <w:spacing w:after="0" w:line="240" w:lineRule="auto"/>
              <w:jc w:val="left"/>
            </w:pPr>
            <w:r>
              <w:t>Predicted PRRhat or importance score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0709D">
            <w:pPr>
              <w:spacing w:after="0" w:line="240" w:lineRule="auto"/>
              <w:jc w:val="left"/>
            </w:pPr>
            <w:r>
              <w:t>Demonstrate that the RF-based link-quality estimator is predictive and not random</w:t>
            </w:r>
          </w:p>
        </w:tc>
      </w:tr>
    </w:tbl>
    <w:p w14:paraId="15A1BFEF"/>
    <w:p w14:paraId="33AC1608">
      <w:pPr>
        <w:pStyle w:val="16"/>
        <w:ind w:left="397"/>
      </w:pPr>
      <w:r>
        <w:t>For thesis clarity, the most convincing chart is predicted PRRhat versus measured PRR_emp with a diagonal reference line and the validation R²/MAE shown in the caption.</w:t>
      </w:r>
    </w:p>
    <w:p w14:paraId="5D9EB821">
      <w:pPr>
        <w:pStyle w:val="16"/>
        <w:ind w:left="397"/>
      </w:pPr>
      <w:r>
        <w:t>You may add a secondary feature-importance bar chart in the appendix, but the required main output is a single effectiveness chart.</w:t>
      </w:r>
    </w:p>
    <w:p w14:paraId="7AB5FF81">
      <w:pPr>
        <w:pStyle w:val="3"/>
      </w:pPr>
      <w:r>
        <w:t>6. Experiment block A — GMAPPO learning-rate sweep</w:t>
      </w:r>
    </w:p>
    <w:p w14:paraId="064401ED">
      <w:pPr>
        <w:pStyle w:val="14"/>
      </w:pPr>
      <w:r>
        <w:t>Fix N_total = 120, fix eta_ch = 1.0, and keep the same probe-trained RF estimator for all runs.</w:t>
      </w:r>
    </w:p>
    <w:p w14:paraId="35DFF39D">
      <w:pPr>
        <w:pStyle w:val="14"/>
      </w:pPr>
      <w:r>
        <w:t>Train GMAPPO at learning rates {1e-4, 3e-4, 1e-3}.</w:t>
      </w:r>
    </w:p>
    <w:p w14:paraId="7A6B6E57">
      <w:pPr>
        <w:pStyle w:val="14"/>
      </w:pPr>
      <w:r>
        <w:t>Keep path masks, GCN depth, replay settings, and candidate-path generation identical.</w:t>
      </w:r>
    </w:p>
    <w:p w14:paraId="68EC2430">
      <w:pPr>
        <w:pStyle w:val="14"/>
      </w:pPr>
      <w:r>
        <w:t>Log the mean episodic reward and plot one reward-curve chart.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6EA15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F2C47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7AE47">
            <w:pPr>
              <w:spacing w:after="0" w:line="240" w:lineRule="auto"/>
              <w:jc w:val="center"/>
            </w:pPr>
            <w:r>
              <w:rPr>
                <w:b/>
              </w:rPr>
              <w:t>Required figure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6C554">
            <w:pPr>
              <w:spacing w:after="0" w:line="240" w:lineRule="auto"/>
              <w:jc w:val="center"/>
            </w:pPr>
            <w:r>
              <w:rPr>
                <w:b/>
              </w:rPr>
              <w:t>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74D6A">
            <w:pPr>
              <w:spacing w:after="0" w:line="240" w:lineRule="auto"/>
              <w:jc w:val="center"/>
            </w:pPr>
            <w:r>
              <w:rPr>
                <w:b/>
              </w:rPr>
              <w:t>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A3C08">
            <w:pPr>
              <w:spacing w:after="0" w:line="240" w:lineRule="auto"/>
              <w:jc w:val="center"/>
            </w:pPr>
            <w:r>
              <w:rPr>
                <w:b/>
              </w:rPr>
              <w:t>Legend</w:t>
            </w:r>
          </w:p>
        </w:tc>
      </w:tr>
      <w:tr w14:paraId="4592C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2516A">
            <w:pPr>
              <w:spacing w:after="0" w:line="240" w:lineRule="auto"/>
              <w:jc w:val="left"/>
            </w:pPr>
            <w:r>
              <w:t>Figure 2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7C85B">
            <w:pPr>
              <w:spacing w:after="0" w:line="240" w:lineRule="auto"/>
              <w:jc w:val="left"/>
            </w:pPr>
            <w:r>
              <w:t>Reward value curve comparison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40CFD">
            <w:pPr>
              <w:spacing w:after="0" w:line="240" w:lineRule="auto"/>
              <w:jc w:val="center"/>
            </w:pPr>
            <w:r>
              <w:t>Training episode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B9007">
            <w:pPr>
              <w:spacing w:after="0" w:line="240" w:lineRule="auto"/>
              <w:jc w:val="center"/>
            </w:pPr>
            <w:r>
              <w:t>Mean episodic reward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146A8">
            <w:pPr>
              <w:spacing w:after="0" w:line="240" w:lineRule="auto"/>
              <w:jc w:val="left"/>
            </w:pPr>
            <w:r>
              <w:t>lr=1e-4 / 3e-4 / 1e-3</w:t>
            </w:r>
          </w:p>
        </w:tc>
      </w:tr>
    </w:tbl>
    <w:p w14:paraId="6A1044FC"/>
    <w:p w14:paraId="7FB3E12C">
      <w:pPr>
        <w:pStyle w:val="3"/>
      </w:pPr>
      <w:r>
        <w:t>7. Experiment block B — algorithm comparison under node-count variation</w:t>
      </w:r>
      <w:r>
        <w:br w:type="page"/>
      </w:r>
    </w:p>
    <w:p w14:paraId="4C98EF91">
      <w:pPr>
        <w:pStyle w:val="14"/>
      </w:pPr>
      <w:r>
        <w:t>Fix eta_ch = 1.0 and sweep N_total over {40, 80, 120, 160, 200}.</w:t>
      </w:r>
    </w:p>
    <w:p w14:paraId="2A8F3023">
      <w:pPr>
        <w:pStyle w:val="14"/>
      </w:pPr>
      <w:r>
        <w:t>For each node count, run GMAPPO, MAPPO, Greedy, ACO, and GA.</w:t>
      </w:r>
    </w:p>
    <w:p w14:paraId="788B5DE8">
      <w:pPr>
        <w:pStyle w:val="14"/>
      </w:pPr>
      <w:r>
        <w:t>Use the same trained RF estimator pipeline and the same candidate-neighbor cap K_nbr = 8.</w:t>
      </w:r>
    </w:p>
    <w:p w14:paraId="5E6676EA">
      <w:pPr>
        <w:pStyle w:val="14"/>
      </w:pPr>
      <w:r>
        <w:t>For each evaluation window, compute LA_pi from the path-level geometric means Q_pi and S_pi.</w:t>
      </w:r>
    </w:p>
    <w:p w14:paraId="739B8EC4">
      <w:pPr>
        <w:pStyle w:val="14"/>
      </w:pPr>
      <w:r>
        <w:t>Aggregate mean window-averaged LA_pi across seeds and plot one line chart.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421B8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44C9A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C8993">
            <w:pPr>
              <w:spacing w:after="0" w:line="240" w:lineRule="auto"/>
              <w:jc w:val="center"/>
            </w:pPr>
            <w:r>
              <w:rPr>
                <w:b/>
              </w:rPr>
              <w:t>Required figure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EB835">
            <w:pPr>
              <w:spacing w:after="0" w:line="240" w:lineRule="auto"/>
              <w:jc w:val="center"/>
            </w:pPr>
            <w:r>
              <w:rPr>
                <w:b/>
              </w:rPr>
              <w:t>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341F2">
            <w:pPr>
              <w:spacing w:after="0" w:line="240" w:lineRule="auto"/>
              <w:jc w:val="center"/>
            </w:pPr>
            <w:r>
              <w:rPr>
                <w:b/>
              </w:rPr>
              <w:t>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3CF49">
            <w:pPr>
              <w:spacing w:after="0" w:line="240" w:lineRule="auto"/>
              <w:jc w:val="center"/>
            </w:pPr>
            <w:r>
              <w:rPr>
                <w:b/>
              </w:rPr>
              <w:t>Legend</w:t>
            </w:r>
          </w:p>
        </w:tc>
      </w:tr>
      <w:tr w14:paraId="72129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823B2">
            <w:pPr>
              <w:spacing w:after="0" w:line="240" w:lineRule="auto"/>
              <w:jc w:val="left"/>
            </w:pPr>
            <w:r>
              <w:t>Figure 3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207C6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0D99F">
            <w:pPr>
              <w:spacing w:after="0" w:line="240" w:lineRule="auto"/>
              <w:jc w:val="left"/>
            </w:pPr>
            <w:r>
              <w:t>Total node count N_total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F90AC">
            <w:pPr>
              <w:spacing w:after="0" w:line="240" w:lineRule="auto"/>
              <w:jc w:val="left"/>
            </w:pPr>
            <w:r>
              <w:t>Mean Link Advantage LA_pi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5D160">
            <w:pPr>
              <w:spacing w:after="0" w:line="240" w:lineRule="auto"/>
              <w:jc w:val="center"/>
            </w:pPr>
            <w:r>
              <w:t>All 5 algorithms</w:t>
            </w:r>
          </w:p>
        </w:tc>
      </w:tr>
    </w:tbl>
    <w:p w14:paraId="54BDA71B"/>
    <w:p w14:paraId="181074E4">
      <w:pPr>
        <w:pStyle w:val="3"/>
      </w:pPr>
      <w:r>
        <w:t>8. Experiment block C — algorithm comparison under channel-condition variation</w:t>
      </w:r>
    </w:p>
    <w:p w14:paraId="5904664C">
      <w:pPr>
        <w:pStyle w:val="14"/>
      </w:pPr>
      <w:r>
        <w:t>Fix N_total = 120 while nodes continue to move dynamically.</w:t>
      </w:r>
    </w:p>
    <w:p w14:paraId="3526F823">
      <w:pPr>
        <w:pStyle w:val="14"/>
      </w:pPr>
      <w:r>
        <w:t>Sweep eta_ch over {0.75, 1.0, 1.25, 1.5}.</w:t>
      </w:r>
    </w:p>
    <w:p w14:paraId="2E10795F">
      <w:pPr>
        <w:pStyle w:val="14"/>
      </w:pPr>
      <w:r>
        <w:t>Adjust channel parameters such as shadowing spread, K-factor, and attenuation margin through eta_ch, but do not change the channel-model family.</w:t>
      </w:r>
    </w:p>
    <w:p w14:paraId="4340DBCA">
      <w:pPr>
        <w:pStyle w:val="14"/>
      </w:pPr>
      <w:r>
        <w:t>Run GMAPPO, MAPPO, Greedy, ACO, and GA and compute mean LA_pi across windows and seeds.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1B6D0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D9193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BE32E">
            <w:pPr>
              <w:spacing w:after="0" w:line="240" w:lineRule="auto"/>
              <w:jc w:val="center"/>
            </w:pPr>
            <w:r>
              <w:rPr>
                <w:b/>
              </w:rPr>
              <w:t>Required figure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63255">
            <w:pPr>
              <w:spacing w:after="0" w:line="240" w:lineRule="auto"/>
              <w:jc w:val="center"/>
            </w:pPr>
            <w:r>
              <w:rPr>
                <w:b/>
              </w:rPr>
              <w:t>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2660B">
            <w:pPr>
              <w:spacing w:after="0" w:line="240" w:lineRule="auto"/>
              <w:jc w:val="center"/>
            </w:pPr>
            <w:r>
              <w:rPr>
                <w:b/>
              </w:rPr>
              <w:t>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F866B">
            <w:pPr>
              <w:spacing w:after="0" w:line="240" w:lineRule="auto"/>
              <w:jc w:val="center"/>
            </w:pPr>
            <w:r>
              <w:rPr>
                <w:b/>
              </w:rPr>
              <w:t>Legend</w:t>
            </w:r>
          </w:p>
        </w:tc>
      </w:tr>
      <w:tr w14:paraId="2EB87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2316D">
            <w:pPr>
              <w:spacing w:after="0" w:line="240" w:lineRule="auto"/>
              <w:jc w:val="left"/>
            </w:pPr>
            <w:r>
              <w:t>Figure 4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943CB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DE170">
            <w:pPr>
              <w:spacing w:after="0" w:line="240" w:lineRule="auto"/>
              <w:jc w:val="left"/>
            </w:pPr>
            <w:r>
              <w:t>Channel-condition scale eta_ch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DF5E0">
            <w:pPr>
              <w:spacing w:after="0" w:line="240" w:lineRule="auto"/>
              <w:jc w:val="left"/>
            </w:pPr>
            <w:r>
              <w:t>Mean Link Advantage LA_pi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68044">
            <w:pPr>
              <w:spacing w:after="0" w:line="240" w:lineRule="auto"/>
              <w:jc w:val="center"/>
            </w:pPr>
            <w:r>
              <w:t>All 5 algorithms</w:t>
            </w:r>
          </w:p>
        </w:tc>
      </w:tr>
    </w:tbl>
    <w:p w14:paraId="17D2306F"/>
    <w:p w14:paraId="4923C953">
      <w:pPr>
        <w:pStyle w:val="3"/>
      </w:pPr>
      <w:r>
        <w:t>9. Output formatting rules</w:t>
      </w:r>
    </w:p>
    <w:p w14:paraId="6AA8B783">
      <w:pPr>
        <w:pStyle w:val="16"/>
      </w:pPr>
      <w:r>
        <w:t>Figure 1 must directly test estimator effectiveness. Preferred main caption wording: “Validation agreement between RF-predicted PRRhat and measured PRR_emp.”</w:t>
      </w:r>
    </w:p>
    <w:p w14:paraId="648FA523">
      <w:pPr>
        <w:pStyle w:val="16"/>
      </w:pPr>
      <w:r>
        <w:t>Figures 3 and 4 must use the same y-axis range whenever possible so node-count and channel-condition effects are visually comparable.</w:t>
      </w:r>
    </w:p>
    <w:p w14:paraId="5555F170">
      <w:pPr>
        <w:pStyle w:val="16"/>
      </w:pPr>
      <w:r>
        <w:t>Use the filenames: Fig1_RC2_RF_effectiveness.png, Fig2_RC2_reward_lr.png, Fig3_RC2_LA_vs_nodes.png, Fig4_RC2_LA_vs_channel.png.</w:t>
      </w:r>
    </w:p>
    <w:p w14:paraId="79BDBCC0">
      <w:pPr>
        <w:pStyle w:val="3"/>
      </w:pPr>
      <w:r>
        <w:t>10. Optional ablation (appendix only)</w:t>
      </w:r>
    </w:p>
    <w:p w14:paraId="05687583">
      <w:pPr>
        <w:pStyle w:val="16"/>
      </w:pPr>
      <w:r>
        <w:t>You may additionally vary w_Q / w_S in {(0.4,0.6), (0.6,0.4), (0.8,0.2)} and eta_sw in {0.01, 0.05, 0.1, 0.2} to show the trade-off between path quality and path stability.</w:t>
      </w:r>
    </w:p>
    <w:p w14:paraId="47F5B147">
      <w:pPr>
        <w:pStyle w:val="16"/>
      </w:pPr>
      <w:r>
        <w:t>Do not mix this ablation into the main figures requested above.</w:t>
      </w:r>
    </w:p>
    <w:sectPr>
      <w:footerReference r:id="rId5" w:type="default"/>
      <w:pgSz w:w="12240" w:h="15840"/>
      <w:pgMar w:top="1247" w:right="1247" w:bottom="1191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B81CA">
    <w:pPr>
      <w:pStyle w:val="24"/>
      <w:jc w:val="center"/>
    </w:pPr>
    <w:r>
      <w:rPr>
        <w:color w:val="7A7A7A"/>
        <w:sz w:val="16"/>
      </w:rPr>
      <w:t>Experiment manual prepared from the locked thesis drafts and the final master experiment design.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0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65F91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65F91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834</Words>
  <Characters>4672</Characters>
  <Lines>0</Lines>
  <Paragraphs>0</Paragraphs>
  <TotalTime>0</TotalTime>
  <ScaleCrop>false</ScaleCrop>
  <LinksUpToDate>false</LinksUpToDate>
  <CharactersWithSpaces>5413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Star gazer</cp:lastModifiedBy>
  <dcterms:modified xsi:type="dcterms:W3CDTF">2026-03-07T06:51:01Z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2BDCDADE02AC4EA1AB2F1CB033537463_13</vt:lpwstr>
  </property>
</Properties>
</file>