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B365D"/>
          <w:sz w:val="40"/>
        </w:rPr>
        <w:t>EMPIRICAL BASELINE PROFILING REPORT</w:t>
      </w:r>
    </w:p>
    <w:p>
      <w:pPr>
        <w:jc w:val="center"/>
      </w:pPr>
      <w:r>
        <w:rPr>
          <w:rFonts w:ascii="Segoe UI Semibold" w:hAnsi="Segoe UI Semibold"/>
          <w:color w:val="5C768D"/>
          <w:sz w:val="25"/>
        </w:rPr>
        <w:t>Multi-Model KV-Cache Scaling &amp; Dual OOM Ceiling Mapping (8GB &amp; 16GB Targets)</w:t>
      </w:r>
    </w:p>
    <w:p>
      <w:pPr>
        <w:jc w:val="center"/>
      </w:pPr>
      <w:r>
        <w:rPr>
          <w:rFonts w:ascii="Segoe UI" w:hAnsi="Segoe UI"/>
          <w:color w:val="5C768D"/>
          <w:sz w:val="19"/>
        </w:rPr>
        <w:t>CPE401 Senior Project I · Computer Engineering, KMUTT</w:t>
        <w:br/>
        <w:t>Testbed: NVIDIA RTX 4090 (24GB) @ CPE Slurm Cluster · Date: 19 Oct 2026</w:t>
      </w:r>
    </w:p>
    <w:p>
      <w:pPr>
        <w:spacing w:after="80"/>
      </w:pPr>
    </w:p>
    <w:p>
      <w:pPr>
        <w:pStyle w:val="Heading1"/>
      </w:pPr>
      <w:r>
        <w:rPr>
          <w:rFonts w:ascii="Segoe UI" w:hAnsi="Segoe UI"/>
          <w:color w:val="1B365D"/>
        </w:rPr>
        <w:t>1. Executive Summary &amp; Dual OOM Breakthroughs</w:t>
      </w:r>
    </w:p>
    <w:p>
      <w:pPr>
        <w:spacing w:line="276" w:lineRule="auto"/>
      </w:pPr>
      <w:r>
        <w:t>This empirical report documents native FP16/BF16 autoregressive LLM inference benchmarks across four representative open models (Qwen2.5-1.5B, Qwen2.5-3B, Phi-3.5-mini 3.8B, and Qwen2.5-7B) on the KMUTT CPE Slurm Cluster. The findings prove the existence of dual hardware bottlenecks outlined in the project proposal:</w:t>
      </w:r>
    </w:p>
    <w:p>
      <w:pPr>
        <w:pStyle w:val="ListBullet"/>
        <w:spacing w:after="60"/>
      </w:pPr>
      <w:r>
        <w:rPr>
          <w:b/>
          <w:color w:val="1B365D"/>
        </w:rPr>
        <w:t xml:space="preserve">The 8GB Consumer OOM Ceiling (Qwen2.5-3B): </w:t>
      </w:r>
      <w:r>
        <w:t>At 32K context, total peak VRAM hits 9,747.98 MB, exceeding the 8GB limit (8,192 MB) by +1,555.98 MB (+19.0%), guaranteeing a fatal CUDA OOM on local RTX 4060 GPUs.</w:t>
      </w:r>
    </w:p>
    <w:p>
      <w:pPr>
        <w:pStyle w:val="ListBullet"/>
        <w:spacing w:after="60"/>
      </w:pPr>
      <w:r>
        <w:rPr>
          <w:b/>
          <w:color w:val="1B365D"/>
        </w:rPr>
        <w:t xml:space="preserve">The 16GB Cluster/Cloud OOM Ceiling (Qwen2.5-7B): </w:t>
      </w:r>
      <w:r>
        <w:t>Static model weights consume 14,568.65 MB (~14.23 GB). At 16K context, VRAM reaches 17,705.46 MB (+1,321 MB over 16GB), and at 32K context reaches 20,834.15 MB (+4,450 MB / +27.2% over 16GB).</w:t>
      </w:r>
    </w:p>
    <w:p>
      <w:pPr>
        <w:pStyle w:val="ListBullet"/>
        <w:spacing w:after="60"/>
      </w:pPr>
      <w:r>
        <w:rPr>
          <w:b/>
          <w:color w:val="1B365D"/>
        </w:rPr>
        <w:t xml:space="preserve">Cross-Architecture MHA Vulnerability (Phi-3.5-mini 3.8B): </w:t>
      </w:r>
      <w:r>
        <w:t>Due to eager attention and standard MHA overhead, Phi-3.5 breaches the 8GB limit at just 1,024 tokens (8,410.93 MB) and crashes with CUDA OOM at 8K tokens even on a 24GB RTX 4090.</w:t>
      </w:r>
    </w:p>
    <w:p>
      <w:pPr>
        <w:pStyle w:val="ListBullet"/>
        <w:spacing w:after="60"/>
      </w:pPr>
      <w:r>
        <w:rPr>
          <w:b/>
          <w:color w:val="1B365D"/>
        </w:rPr>
        <w:t xml:space="preserve">Severe Latency Degradation (TPOT Inflation): </w:t>
      </w:r>
      <w:r>
        <w:t>At 32K context, Qwen2.5-7B token decoding latency slows down to 130.39 ms/token (a 6.6× slowdown compared to 19.81 ms at 1K tokens), illustrating heavy memory bandwidth saturation.</w:t>
      </w:r>
    </w:p>
    <w:p>
      <w:pPr>
        <w:pStyle w:val="Heading1"/>
      </w:pPr>
      <w:r>
        <w:rPr>
          <w:rFonts w:ascii="Segoe UI" w:hAnsi="Segoe UI"/>
          <w:color w:val="1B365D"/>
        </w:rPr>
        <w:t>2. Hardware &amp; Software Telemetry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0F4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</w:rPr>
              <w:t>Compute Host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gpu01.slurm.cpe.kmutt.ac.th (KMUTT CPE Slurm Cluster)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</w:rPr>
              <w:t>GPU Hardware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NVIDIA GeForce RTX 4090 (24,080.88 MB Total VRAM)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</w:rPr>
              <w:t>Driver &amp; CUDA Stack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Driver 580.178.04 | CUDA 13.0 (PyTorch CUDA 12.1 runtime)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</w:rPr>
              <w:t>Execution Environment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Python 3.12 | PyTorch 2.5.1+cu121 | Transformers 4.47.1 | nvidia-ml-py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</w:rPr>
              <w:t>Slurm Execution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Job IDs: 22091 (Qwen 1.5B/3B) &amp; 22094 (Phi-3.5 3.8B &amp; Qwen 7B)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Segoe UI" w:hAnsi="Segoe UI"/>
          <w:color w:val="1B365D"/>
        </w:rPr>
        <w:t>3. Tier 1: Qwen2.5-1.5B-Instruct (Consumer 8GB Small Model)</w:t>
      </w:r>
    </w:p>
    <w:p>
      <w:pPr>
        <w:spacing w:after="80"/>
      </w:pPr>
      <w:r>
        <w:rPr>
          <w:color w:val="5C768D"/>
        </w:rPr>
        <w:t>Static Model Weights: 2,945.29 MB (~2.88 GB) | Headroom on 8GB GPU: 5,246.71 MB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</w:rPr>
              <w:t>Context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</w:rPr>
              <w:t>Peak VRAM (MB)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</w:rPr>
              <w:t>Est. KV-Cache (MB)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</w:rPr>
              <w:t>KV Share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</w:rPr>
              <w:t>TPOT (ms/token)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</w:rPr>
              <w:t>Status on 8GB GPU (RTX 4060)</w:t>
            </w:r>
          </w:p>
        </w:tc>
      </w:tr>
      <w:tr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512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3,000.94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55.65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1.9%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16.67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 (36.6% VRAM)</w:t>
            </w:r>
          </w:p>
        </w:tc>
      </w:tr>
      <w:tr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1,024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3,046.96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101.67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3.3%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8.69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 (37.2% VRAM)</w:t>
            </w:r>
          </w:p>
        </w:tc>
      </w:tr>
      <w:tr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2,048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3,142.50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197.21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6.3%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9.07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 (38.4% VRAM)</w:t>
            </w:r>
          </w:p>
        </w:tc>
      </w:tr>
      <w:tr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4,096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3,325.59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380.30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11.4%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9.85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 (40.6% VRAM)</w:t>
            </w:r>
          </w:p>
        </w:tc>
      </w:tr>
      <w:tr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8,192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3,697.76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752.47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20.4%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12.29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 (45.1% VRAM)</w:t>
            </w:r>
          </w:p>
        </w:tc>
      </w:tr>
      <w:tr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16,384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4,442.11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1,496.81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33.7%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21.29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 (54.2% VRAM)</w:t>
            </w:r>
          </w:p>
        </w:tc>
      </w:tr>
      <w:tr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32,768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5,930.79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2,985.50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50.3%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44.24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 (72.4% VRAM - TPOT 5.1x slow)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Segoe UI" w:hAnsi="Segoe UI"/>
          <w:color w:val="1B365D"/>
        </w:rPr>
        <w:t>4. Tier 2: Qwen2.5-3B-Instruct (Consumer 8GB OOM Proof)</w:t>
      </w:r>
    </w:p>
    <w:p>
      <w:pPr>
        <w:spacing w:after="80"/>
      </w:pPr>
      <w:r>
        <w:rPr>
          <w:color w:val="5C768D"/>
        </w:rPr>
        <w:t>Static Model Weights: 5,994.48 MB (~5.85 GB) | Headroom on 8GB GPU: Only 2,197.52 MB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</w:rPr>
              <w:t>Context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</w:rPr>
              <w:t>Peak VRAM (MB)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</w:rPr>
              <w:t>Est. KV-Cache (MB)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</w:rPr>
              <w:t>KV Share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</w:rPr>
              <w:t>TPOT (ms/token)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</w:rPr>
              <w:t>Status on 8GB GPU (RTX 4060)</w:t>
            </w:r>
          </w:p>
        </w:tc>
      </w:tr>
      <w:tr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512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6,061.13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66.65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1.1%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13.56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 (74.0% VRAM)</w:t>
            </w:r>
          </w:p>
        </w:tc>
      </w:tr>
      <w:tr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1,024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6,121.15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126.67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2.1%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11.44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 (74.7% VRAM)</w:t>
            </w:r>
          </w:p>
        </w:tc>
      </w:tr>
      <w:tr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2,048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6,239.69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245.21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3.9%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12.69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 (76.2% VRAM)</w:t>
            </w:r>
          </w:p>
        </w:tc>
      </w:tr>
      <w:tr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4,096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6,470.78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476.30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7.4%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15.27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 (79.0% VRAM)</w:t>
            </w:r>
          </w:p>
        </w:tc>
      </w:tr>
      <w:tr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8,192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6,938.95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944.47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13.6%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21.31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High Stress (84.7% VRAM)</w:t>
            </w:r>
          </w:p>
        </w:tc>
      </w:tr>
      <w:tr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16,384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7,875.29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1,880.81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23.9%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38.64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Danger Zone (96.1% VRAM)</w:t>
            </w:r>
          </w:p>
        </w:tc>
      </w:tr>
      <w:tr>
        <w:tc>
          <w:tcPr>
            <w:tcW w:type="dxa" w:w="1680"/>
            <w:shd w:fill="FD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32,768</w:t>
            </w:r>
          </w:p>
        </w:tc>
        <w:tc>
          <w:tcPr>
            <w:tcW w:type="dxa" w:w="1680"/>
            <w:shd w:fill="FD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9,747.98</w:t>
            </w:r>
          </w:p>
        </w:tc>
        <w:tc>
          <w:tcPr>
            <w:tcW w:type="dxa" w:w="1680"/>
            <w:shd w:fill="FD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3,753.50</w:t>
            </w:r>
          </w:p>
        </w:tc>
        <w:tc>
          <w:tcPr>
            <w:tcW w:type="dxa" w:w="1680"/>
            <w:shd w:fill="FD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38.5%</w:t>
            </w:r>
          </w:p>
        </w:tc>
        <w:tc>
          <w:tcPr>
            <w:tcW w:type="dxa" w:w="1680"/>
            <w:shd w:fill="FD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76.74</w:t>
            </w:r>
          </w:p>
        </w:tc>
        <w:tc>
          <w:tcPr>
            <w:tcW w:type="dxa" w:w="1680"/>
            <w:shd w:fill="FD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D9534F"/>
              </w:rPr>
              <w:t>FATAL OOM CRASH (+1.55 GB)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Segoe UI" w:hAnsi="Segoe UI"/>
          <w:color w:val="1B365D"/>
        </w:rPr>
        <w:t>5. Tier 3: Phi-3.5-mini-instruct (3.8B Cross-Architecture Comparison)</w:t>
      </w:r>
    </w:p>
    <w:p>
      <w:pPr>
        <w:spacing w:after="80"/>
      </w:pPr>
      <w:r>
        <w:rPr>
          <w:color w:val="5C768D"/>
        </w:rPr>
        <w:t>Static Model Weights: 7,288.38 MB (~7.12 GB) | Headroom on 8GB GPU: Only 903.62 MB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</w:rPr>
              <w:t>Context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</w:rPr>
              <w:t>Peak VRAM (MB)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</w:rPr>
              <w:t>Est. KV-Cache (MB)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</w:rPr>
              <w:t>TPOT (ms/token)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</w:rPr>
              <w:t>Status on 8GB GPU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</w:rPr>
              <w:t>Status on 24GB RTX 4090</w:t>
            </w:r>
          </w:p>
        </w:tc>
      </w:tr>
      <w:tr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512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7,780.16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491.78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34.46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Near Limit (95.0%)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</w:t>
            </w:r>
          </w:p>
        </w:tc>
      </w:tr>
      <w:tr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1,024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8,410.93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1,122.55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22.28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FATAL OOM CRASH (1K)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</w:t>
            </w:r>
          </w:p>
        </w:tc>
      </w:tr>
      <w:tr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2,048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10,169.34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2,880.96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25.23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FATAL OOM CRASH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</w:t>
            </w:r>
          </w:p>
        </w:tc>
      </w:tr>
      <w:tr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4,096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18,695.64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11,407.26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51.04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FATAL OOM CRASH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Heavy Load (77.6%)</w:t>
            </w:r>
          </w:p>
        </w:tc>
      </w:tr>
      <w:tr>
        <w:tc>
          <w:tcPr>
            <w:tcW w:type="dxa" w:w="1680"/>
            <w:shd w:fill="FD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8,192</w:t>
            </w:r>
          </w:p>
        </w:tc>
        <w:tc>
          <w:tcPr>
            <w:tcW w:type="dxa" w:w="1680"/>
            <w:shd w:fill="FD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-</w:t>
            </w:r>
          </w:p>
        </w:tc>
        <w:tc>
          <w:tcPr>
            <w:tcW w:type="dxa" w:w="1680"/>
            <w:shd w:fill="FD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-</w:t>
            </w:r>
          </w:p>
        </w:tc>
        <w:tc>
          <w:tcPr>
            <w:tcW w:type="dxa" w:w="1680"/>
            <w:shd w:fill="FD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-</w:t>
            </w:r>
          </w:p>
        </w:tc>
        <w:tc>
          <w:tcPr>
            <w:tcW w:type="dxa" w:w="1680"/>
            <w:shd w:fill="FD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FATAL OOM CRASH</w:t>
            </w:r>
          </w:p>
        </w:tc>
        <w:tc>
          <w:tcPr>
            <w:tcW w:type="dxa" w:w="1680"/>
            <w:shd w:fill="FD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D9534F"/>
              </w:rPr>
              <w:t>FATAL OOM CRASH (24GB)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Segoe UI" w:hAnsi="Segoe UI"/>
          <w:color w:val="1B365D"/>
        </w:rPr>
        <w:t>6. Tier 4: Qwen2.5-7B-Instruct (Cluster/Cloud 16GB Tier)</w:t>
      </w:r>
    </w:p>
    <w:p>
      <w:pPr>
        <w:spacing w:after="80"/>
      </w:pPr>
      <w:r>
        <w:rPr>
          <w:color w:val="5C768D"/>
        </w:rPr>
        <w:t>Static Model Weights: 14,568.65 MB (~14.23 GB) | Headroom on 16GB GPU: Only 1,815.35 MB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</w:rPr>
              <w:t>Context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</w:rPr>
              <w:t>Peak VRAM (MB)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</w:rPr>
              <w:t>Est. KV-Cache (MB)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</w:rPr>
              <w:t>KV Share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</w:rPr>
              <w:t>TPOT (ms/token)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</w:rPr>
              <w:t>Status on 16GB Cluster GPU</w:t>
            </w:r>
          </w:p>
        </w:tc>
      </w:tr>
      <w:tr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512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14,674.55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105.90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0.7%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28.49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 (89.6% VRAM)</w:t>
            </w:r>
          </w:p>
        </w:tc>
      </w:tr>
      <w:tr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1,024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14,775.32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206.67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1.4%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19.81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 (90.2% VRAM)</w:t>
            </w:r>
          </w:p>
        </w:tc>
      </w:tr>
      <w:tr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2,048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14,974.24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405.59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2.7%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22.08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 (91.4% VRAM)</w:t>
            </w:r>
          </w:p>
        </w:tc>
      </w:tr>
      <w:tr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4,096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15,359.82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791.17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5.2%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27.52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High Stress (93.7% VRAM)</w:t>
            </w:r>
          </w:p>
        </w:tc>
      </w:tr>
      <w:tr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8,192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16,142.12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1,573.47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9.8%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39.97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Danger Zone (98.5% VRAM)</w:t>
            </w:r>
          </w:p>
        </w:tc>
      </w:tr>
      <w:tr>
        <w:tc>
          <w:tcPr>
            <w:tcW w:type="dxa" w:w="1680"/>
            <w:shd w:fill="FD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16,384</w:t>
            </w:r>
          </w:p>
        </w:tc>
        <w:tc>
          <w:tcPr>
            <w:tcW w:type="dxa" w:w="1680"/>
            <w:shd w:fill="FD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17,705.46</w:t>
            </w:r>
          </w:p>
        </w:tc>
        <w:tc>
          <w:tcPr>
            <w:tcW w:type="dxa" w:w="1680"/>
            <w:shd w:fill="FD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3,136.81</w:t>
            </w:r>
          </w:p>
        </w:tc>
        <w:tc>
          <w:tcPr>
            <w:tcW w:type="dxa" w:w="1680"/>
            <w:shd w:fill="FD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17.7%</w:t>
            </w:r>
          </w:p>
        </w:tc>
        <w:tc>
          <w:tcPr>
            <w:tcW w:type="dxa" w:w="1680"/>
            <w:shd w:fill="FD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67.07</w:t>
            </w:r>
          </w:p>
        </w:tc>
        <w:tc>
          <w:tcPr>
            <w:tcW w:type="dxa" w:w="1680"/>
            <w:shd w:fill="FD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D9534F"/>
              </w:rPr>
              <w:t>FATAL OOM CRASH (+1.32 GB)</w:t>
            </w:r>
          </w:p>
        </w:tc>
      </w:tr>
      <w:tr>
        <w:tc>
          <w:tcPr>
            <w:tcW w:type="dxa" w:w="1680"/>
            <w:shd w:fill="FD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32,768</w:t>
            </w:r>
          </w:p>
        </w:tc>
        <w:tc>
          <w:tcPr>
            <w:tcW w:type="dxa" w:w="1680"/>
            <w:shd w:fill="FD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20,834.15</w:t>
            </w:r>
          </w:p>
        </w:tc>
        <w:tc>
          <w:tcPr>
            <w:tcW w:type="dxa" w:w="1680"/>
            <w:shd w:fill="FD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6,265.50</w:t>
            </w:r>
          </w:p>
        </w:tc>
        <w:tc>
          <w:tcPr>
            <w:tcW w:type="dxa" w:w="1680"/>
            <w:shd w:fill="FD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30.1%</w:t>
            </w:r>
          </w:p>
        </w:tc>
        <w:tc>
          <w:tcPr>
            <w:tcW w:type="dxa" w:w="1680"/>
            <w:shd w:fill="FD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130.39</w:t>
            </w:r>
          </w:p>
        </w:tc>
        <w:tc>
          <w:tcPr>
            <w:tcW w:type="dxa" w:w="1680"/>
            <w:shd w:fill="FD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D9534F"/>
              </w:rPr>
              <w:t>FATAL OOM CRASH (+4.45 GB)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Segoe UI" w:hAnsi="Segoe UI"/>
          <w:color w:val="1B365D"/>
        </w:rPr>
        <w:t>7. Research Significance &amp; Proposal Alignment</w:t>
      </w:r>
    </w:p>
    <w:p>
      <w:pPr>
        <w:spacing w:line="276" w:lineRule="auto"/>
      </w:pPr>
      <w:r>
        <w:t>These comprehensive results firmly establish the necessity and commercial viability of the proposed Co-Optimization system:</w:t>
        <w:br/>
        <w:t>1. Consumer Local GPUs (8GB): Selective 4-bit compression is mandatory to compress the 32K KV-Cache of 3B models from 3.75 GB down to ~1.1 GB, preventing fatal OOM.</w:t>
        <w:br/>
        <w:t>2. Cluster/Cloud GPUs (16GB): For 7B models, 32K KV-Cache (6.27 GB) causes total VRAM to reach 20.83 GB (+27.2% above limit). Asynchronous PCIe host RAM offload combined with 4-bit compression will compress and page out older context tokens, enabling full 32K execution on a single 16GB instance without crashing.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