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Tobias Kundig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Fall ‘13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Douglas Raiford Ph.D.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CSCI 460 Operating Systems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September 10,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adder.c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419850" cx="5572125"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6419850" cx="5572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arrays.c</w:t>
      </w:r>
      <w:r w:rsidRPr="00000000" w:rsidR="00000000" w:rsidDel="00000000">
        <w:drawing>
          <wp:inline>
            <wp:extent cy="5734050" cx="5334000"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734050" cx="5334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adderPntr.c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7324725" cx="58197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7324725" cx="5819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arrays2d.c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305425" cx="5457825"/>
            <wp:docPr id="4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305425" cx="54578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addArgs.c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629400" cx="7381875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6629400" cx="7381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pointers.c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905625" cx="702945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6905625" cx="7029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2.png" Type="http://schemas.openxmlformats.org/officeDocument/2006/relationships/image" Id="rId6"/><Relationship Target="media/image03.png" Type="http://schemas.openxmlformats.org/officeDocument/2006/relationships/image" Id="rId5"/><Relationship Target="media/image00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Project2.docx</dc:title>
</cp:coreProperties>
</file>