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Jones (2019) — Beaver Ecology and Salmonid Habitat Restoration</w:t>
      </w:r>
    </w:p>
    <w:p>
      <w:pPr>
        <w:pStyle w:val="Normal"/>
      </w:pPr>
      <w:r>
        <w:t xml:space="preserve">Beaver dams significantly increase overwinter survival of juvenile salmonids by creating ponded habitat with stable thermal regimes and reduced flow velocities. Electrofishing surveys recorded juvenile steelhead and coho salmon densities 3.4 times higher in beaver pond habitat than in adjacent free-flowing channel reaches. The slow-water refuges created by beaver dams provide shelter from winter spates while maintaining access to benthic invertebrate prey.</w:t>
      </w:r>
    </w:p>
    <w:p>
      <w:pPr>
        <w:pStyle w:val="Normal"/>
      </w:pPr>
      <w:r>
        <w:t xml:space="preserve">Experimental reintroduction of beavers to an incised stream reach reduced peak daily flows by 31 percent during late-season storm events compared to an upstream reference reach without beavers. Summer baseflow duration extended by five weeks in the beaver-colonised section due to increased groundwater storage in pond sediments.</w:t>
      </w:r>
    </w:p>
    <w:p>
      <w:pPr>
        <w:pStyle w:val="Normal"/>
      </w:pPr>
      <w:r>
        <w:t xml:space="preserve">Archival trapping records and aerial photograph analysis indicate that beaver pond habitat extent declined by approximately 60 percent between 1850 and 1950 across the study watershed, primarily due to commercial trapping pressure. This loss of ponded water reduced overwinter rearing capacity and likely contributed to declining winter survival of juvenile salmonids during the late 19th and early 20th centuries.</w:t>
      </w:r>
    </w:p>
    <w:p>
      <w:pPr>
        <w:pStyle w:val="Normal"/>
      </w:pPr>
      <w:r>
        <w:t xml:space="preserve">Floodplain connectivity is restored in years when peak flows exceed bankfull discharge. Juvenile chinook tagged in the main channel were detected in floodplain side channels during three consecutive high-flow events, where they remained for 12 to 34 days and achieved growth rates 40 percent higher than fish remaining in the mainstem.</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airvine</cp:lastModifiedBy>
  <cp:revision>9</cp:revision>
  <dcterms:created xsi:type="dcterms:W3CDTF">2017-02-28T11:18:00Z</dcterms:created>
  <dcterms:modified xsi:type="dcterms:W3CDTF">2026-02-23T20:19:27Z</dcterms:modified>
  <cp:category/>
</cp:coreProperties>
</file>