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大语言模型赋能数字孪生流域知识平台建设研究"/>
    <w:p>
      <w:pPr>
        <w:pStyle w:val="Heading1"/>
      </w:pPr>
      <w:r>
        <w:t xml:space="preserve">大语言模型赋能数字孪生流域知识平台建设研究</w:t>
      </w:r>
    </w:p>
    <w:p>
      <w:pPr>
        <w:pStyle w:val="FirstParagraph"/>
      </w:pPr>
      <w:r>
        <w:t xml:space="preserve">1 引言</w:t>
      </w:r>
    </w:p>
    <w:p>
      <w:pPr>
        <w:pStyle w:val="BodyText"/>
      </w:pPr>
      <w:r>
        <w:t xml:space="preserve">数字孪生流域是中国智慧水利建设的关键，主要以数据底板为基座、模型平台为核心、知识平台为驱动，实现物理流域全要素和水利治理管理活动全过程的数字化映射与智能化模拟【】。随着数字孪生流域建设的快速推进，一套较为成熟的数据底板、模型平台建设体系已经建立，为水利精准化决策提供了算法支持，但知识平台主要侧重于知识的静态存储与简单查询，支撑作用略显不足【】。近年来，以ChatGPT、DeepSeek等为代表的大语言模型取得了突破性进展，其在语言理解、知识表示和推理生成方面展现出强大能力，亟需开展基于大语言模型的数字孪生水利知识平台建设研究，为水利知识管理带来了革命性变化。</w:t>
      </w:r>
    </w:p>
    <w:p>
      <w:pPr>
        <w:pStyle w:val="BodyText"/>
      </w:pPr>
      <w:r>
        <w:t xml:space="preserve">2 水利知识平台建设的现状与挑战</w:t>
      </w:r>
    </w:p>
    <w:p>
      <w:pPr>
        <w:pStyle w:val="BodyText"/>
      </w:pPr>
      <w:r>
        <w:t xml:space="preserve">2.1 现状分析</w:t>
      </w:r>
    </w:p>
    <w:p>
      <w:pPr>
        <w:pStyle w:val="BodyText"/>
      </w:pPr>
      <w:r>
        <w:t xml:space="preserve">随着数字孪生水利建设的快速推进，水利知识平台建设已取得阶段性成果。目前，知识平台主要以知识图谱为核心表现形式，通过自顶向下与自底向上相结合的构建模式，实现了水利领域知识的结构化表示与管理。自顶向下主要依据行业标准、技术规范等建设概念模型，自底向上则通过知识抽取、融合等技术将多源数据转化为知识图谱。研究表明，现有知识平台在防洪调度、水资源管理、工程安全监测等业务场景中已得到初步应用，为水利决策提供了基础支撑。然而，当前知识平台仍以静态知识存储和简单查询为主，缺乏动态更新机制和深度推理能力，与数字孪生水利"四预"（预报、预警、预演、预案）业务需求的深度融合尚有差距。</w:t>
      </w:r>
    </w:p>
    <w:p>
      <w:pPr>
        <w:pStyle w:val="BodyText"/>
      </w:pPr>
      <w:r>
        <w:t xml:space="preserve">2.2 挑战分析</w:t>
      </w:r>
    </w:p>
    <w:p>
      <w:pPr>
        <w:pStyle w:val="BodyText"/>
      </w:pPr>
      <w:r>
        <w:t xml:space="preserve">通过对现有研究成果的系统梳理，水利知识平台建设在理论探索和实践应用中仍面临多重挑战，主要体现在以下四个维度：</w:t>
      </w:r>
    </w:p>
    <w:p>
      <w:pPr>
        <w:pStyle w:val="BodyText"/>
      </w:pPr>
      <w:r>
        <w:t xml:space="preserve">首先，在多模态知识融合方面，数字孪生流域环境产生的数据具有显著的异构性和复杂性，涵盖文本、图像、视频、时序监测数据等多种模态。现有知识平台在处理多源异构信息时存在技术瓶颈，难以实现跨模态知识的统一表示与联合推理。相关研究表明，传统方法在处理非结构化数据（如遥感影像、监控视频等）中的专业知识提取能力有限，导致知识体系构建不完整，无法全面反映水利系统的复杂特征。</w:t>
      </w:r>
    </w:p>
    <w:p>
      <w:pPr>
        <w:pStyle w:val="BodyText"/>
      </w:pPr>
      <w:r>
        <w:t xml:space="preserve">其次，在语义理解与深度推理能力方面，基于关键词匹配的传统检索机制难以捕捉用户查询的深层语义信息，缺乏对专业术语上下文关系的理解能力。学术研究指出，现有平台在面对复杂水利专业问题时，往往无法准确把握专业术语间的内在逻辑关系和物理机制，导致检索结果的准确性和相关性不足，限制了知识服务的专业性和实用性。</w:t>
      </w:r>
    </w:p>
    <w:p>
      <w:pPr>
        <w:pStyle w:val="BodyText"/>
      </w:pPr>
      <w:r>
        <w:t xml:space="preserve">第三，在知识动态更新与业务融合方面，当前知识平台与水利核心业务系统的集成度不高，主要停留在辅助决策层面，难以实现知识驱动的业务流程自动化。研究显示，传统知识平台缺乏与水利专业模型（如水文模型、水动力模型等）的有效耦合机制，无法形成从知识获取到模型驱动再到决策支持的完整闭环，严重制约了其在实际业务中的应用价值和推广潜力。</w:t>
      </w:r>
    </w:p>
    <w:p>
      <w:pPr>
        <w:pStyle w:val="BodyText"/>
      </w:pPr>
      <w:r>
        <w:t xml:space="preserve">最后，在大模型专业化适配方面，通用大语言模型在水利垂直领域的应用面临专业性和可靠性的双重挑战。研究发现，由于缺乏水利领域的系统化预训练和针对性微调，通用模型在理解专业术语、把握物理机制、分析业务逻辑等方面存在明显不足，容易产生语义偏差和知识幻觉，在专业场景下的应用效果难以满足实际需求。</w:t>
      </w:r>
    </w:p>
    <w:p>
      <w:pPr>
        <w:pStyle w:val="BodyText"/>
      </w:pPr>
      <w:r>
        <w:t xml:space="preserve">综上所述，水利知识平台在智能化程度、专业化水平和服务能力等方面仍存在显著技术瓶颈，亟需引入大语言模型等前沿技术手段，通过技术创新突破现有局限，构建更加智能、高效、专业的知识服务体系。</w:t>
      </w:r>
    </w:p>
    <w:p>
      <w:pPr>
        <w:pStyle w:val="BodyText"/>
      </w:pPr>
      <w:r>
        <w:t xml:space="preserve">3 大模型在水利知识平台中的应用优势</w:t>
      </w:r>
    </w:p>
    <w:p>
      <w:pPr>
        <w:pStyle w:val="BodyText"/>
      </w:pPr>
      <w:r>
        <w:t xml:space="preserve">3.1 强大的语义理解与生成能力</w:t>
      </w:r>
    </w:p>
    <w:p>
      <w:pPr>
        <w:pStyle w:val="BodyText"/>
      </w:pPr>
      <w:r>
        <w:t xml:space="preserve">大语言模型技术的突破性发展为解决传统水利知识平台面临的挑战提供了新的技术路径。基于Transformer架构的大语言模型通过自注意力机制实现对长距离依赖关系的有效建模。大语言模型具备深度的语义理解能力，能够准确把握用户查询的真实意图，超越传统关键词匹配的局限性。在水利专业领域，大语言模型可以理解复杂的专业术语和上下文关系，实现对自然语言查询的精准解析。同时，大语言模型具有强大的文本生成能力，能够根据用户需求生成结构化报告、技术方案和决策建议。在防洪决策支持中，大语言模型可以基于历史案例和实时数据生成详细的调度方案，为决策者提供全面的信息支撑。</w:t>
      </w:r>
    </w:p>
    <w:p>
      <w:pPr>
        <w:pStyle w:val="BodyText"/>
      </w:pPr>
      <w:r>
        <w:t xml:space="preserve">3.2 高效的知识抽取与构建能力</w:t>
      </w:r>
    </w:p>
    <w:p>
      <w:pPr>
        <w:pStyle w:val="BodyText"/>
      </w:pPr>
      <w:r>
        <w:t xml:space="preserve">传统知识图谱构建方法严重依赖人工标注，存在成本高昂、周期漫长、质量难以保证等问题。大语言模型技术的引入为水利知识抽取与构建提供了革命性的解决方案。通过精心设计的提示词工程（Prompt Engineering），大语言模型能够从海量非结构化文本中自动识别和抽取水利专业实体、属性及关系，构建高精度的知识图谱。</w:t>
      </w:r>
    </w:p>
    <w:p>
      <w:pPr>
        <w:pStyle w:val="BodyText"/>
      </w:pPr>
      <w:r>
        <w:t xml:space="preserve">在实体抽取方面，大语言模型基于上下文语义理解能力，能够准确识别水利领域专业术语，如水利工程名称、水文站点、监测设备、技术参数等。与传统基于规则和统计的方法相比，大语言模型在处理复杂语境和专业术语时表现出更强的鲁棒性和准确性。研究表明，通过Few-Shot学习范式，大语言模型仅需少量标注样本即可达到较高的抽取效果，大幅降低了人工标注成本。</w:t>
      </w:r>
    </w:p>
    <w:p>
      <w:pPr>
        <w:pStyle w:val="BodyText"/>
      </w:pPr>
      <w:r>
        <w:t xml:space="preserve">在关系抽取方面，大语言模型能够深入理解文本中实体间的语义关系，识别出复杂的因果关系、时空关系、功能关系等。例如，在水利工程调度规程文本中，模型能够准确提取"水库-泄洪-流量-时间"等多元关系，构建完整的业务逻辑网络。</w:t>
      </w:r>
    </w:p>
    <w:p>
      <w:pPr>
        <w:pStyle w:val="BodyText"/>
      </w:pPr>
      <w:r>
        <w:t xml:space="preserve">在多模态知 识融合方面，大语言模型展现出卓越的跨模态理解能力。通过对文本、图像、表格、数值等多种数据类型的统一处理，模型能够构建更加全面和丰富的知识表示体系。具体而言，对于技术文档中的图表信息，大语言模型可以结合图像识别和文本理解，提取其中的关键参数和技术指标；对于监测数据，模型能够识别数据模式并关联相应的物理意义；对于遥感影像，模型能够结合地理信息和专业知识，识别水利工程特征和变化趋势。</w:t>
      </w:r>
    </w:p>
    <w:p>
      <w:pPr>
        <w:pStyle w:val="BodyText"/>
      </w:pPr>
      <w:r>
        <w:t xml:space="preserve">此外，大语言模型还具备知识更新和演化的能力。通过持续学习机制，模型能够不断吸收新的水利知识和技术进展，实现知识库的动态更新。这种能力使得水利知识平台能够跟上技术发展的步伐，保持知识的时效性和准确性。</w:t>
      </w:r>
    </w:p>
    <w:p>
      <w:pPr>
        <w:pStyle w:val="BodyText"/>
      </w:pPr>
      <w:r>
        <w:t xml:space="preserve">综上所述，大语言模型在知识抽取与构建方面的优势主要体现在：自动化程度高、抽取质量好、多模态融合能力强、知识更新及时，为构建智能化、专业化的水利知识平台提供了强有力的技术支撑。</w:t>
      </w:r>
    </w:p>
    <w:p>
      <w:pPr>
        <w:pStyle w:val="BodyText"/>
      </w:pPr>
      <w:r>
        <w:t xml:space="preserve">3.3 智能体技术路线的模型调用与推理能力</w:t>
      </w:r>
    </w:p>
    <w:p>
      <w:pPr>
        <w:pStyle w:val="BodyText"/>
      </w:pPr>
      <w:r>
        <w:t xml:space="preserve">水利专业模型具有参数复杂、耦合度高、专业性强等特点，传统调用方式需要深厚专业知识和繁琐操作流程。基于智能体技术路线，通过构建多智能体协作框架，实现了复杂水利任务的自动化分解与执行，为水利模型智能化调用提供了新的技术范式。</w:t>
      </w:r>
    </w:p>
    <w:p>
      <w:pPr>
        <w:pStyle w:val="BodyText"/>
      </w:pPr>
      <w:r>
        <w:t xml:space="preserve">智能体技术路线的核心架构由四个关键模块组成：感知模块负责接收和理解用户自然语言指令，通过深度语义分析识别任务意图和参数需求；规划模块基于任务分解算法，将复杂水利问题转化为可执行的子任务序列，构建任务执行的有向无环图；执行模块通过工具调用机制，智能选择和调用相应的专业模型，实现模型参数的自动配置和优化；反馈模块对模型执行结果进行质量评估和性能优化，形成闭环控制机制。</w:t>
      </w:r>
    </w:p>
    <w:p>
      <w:pPr>
        <w:pStyle w:val="BodyText"/>
      </w:pPr>
      <w:r>
        <w:t xml:space="preserve">在多智能体协作层面，系统采用分层架构设计。协调智能体作为顶层控制单元，负责任务分解和智能体调度；专业智能体针对不同水利业务领域（如防洪调度、水资源管理、工程安全等）进行专门化配置；工具智能体封装各类水利专业模型和计算工具，提供标准化的调用接口。通过智能体间的通信协议和协作机制，实现复杂水利任务的协同处理。</w:t>
      </w:r>
    </w:p>
    <w:p>
      <w:pPr>
        <w:pStyle w:val="BodyText"/>
      </w:pPr>
      <w:r>
        <w:t xml:space="preserve">智能体技术路线的关键优势在于其自适应性和可扩展性。通过强化学习机制，智能体能够从历史执行过程中学习优化策略，不断提升任务执行效率和准确性。模块化设计使得系统能够根据业务需求灵活扩展新的智能体和工具，适应水利业务的不断发展和变化。</w:t>
      </w:r>
    </w:p>
    <w:p>
      <w:pPr>
        <w:pStyle w:val="BodyText"/>
      </w:pPr>
      <w:r>
        <w:t xml:space="preserve">此外，该技术路线还具备强大的容错能力和鲁棒性。通过冗余设计和故障检测机制，当某个智能体或工具出现故障时，系统能够自动切换到备用方案，确保服务的连续性和可靠性。这种设计理念使得智能体技术路线在关键水利业务应用中具有更高的实用价值和推广潜力。</w:t>
      </w:r>
    </w:p>
    <w:p>
      <w:pPr>
        <w:pStyle w:val="BodyText"/>
      </w:pPr>
      <w:r>
        <w:t xml:space="preserve">综上所述，基于智能体技术路线的模型调用与推理能力，通过多智能体协作、自适应学习和容错设计，实现了水利专业模型调用的智能化、自动化和可靠性提升，为数字孪生水利知识平台建设提供了强有力的技术支撑。</w:t>
      </w:r>
    </w:p>
    <w:p>
      <w:pPr>
        <w:pStyle w:val="BodyText"/>
      </w:pPr>
      <w:r>
        <w:t xml:space="preserve">4 基于大语言模型的水利知识平台建设</w:t>
      </w:r>
    </w:p>
    <w:p>
      <w:pPr>
        <w:pStyle w:val="BodyText"/>
      </w:pPr>
      <w:r>
        <w:t xml:space="preserve">4.1 建设思路</w:t>
      </w:r>
    </w:p>
    <w:p>
      <w:pPr>
        <w:pStyle w:val="BodyText"/>
      </w:pPr>
      <w:r>
        <w:t xml:space="preserve">基于大语言模型的水利知识平台建设遵循"数据驱动、知识赋能、智能服务"的核心理念，构建"数据-知识-模型"耦合框架，实现多源异构数据的统一管理和智能服务。</w:t>
      </w:r>
    </w:p>
    <w:p>
      <w:pPr>
        <w:pStyle w:val="BodyText"/>
      </w:pPr>
      <w:r>
        <w:t xml:space="preserve">4.2 建设架构组成</w:t>
      </w:r>
    </w:p>
    <w:p>
      <w:pPr>
        <w:pStyle w:val="BodyText"/>
      </w:pPr>
      <w:r>
        <w:t xml:space="preserve">基于大语言模型的水利知识平台采用四层架构设计，实现功能的模块化和可扩展性：</w:t>
      </w:r>
    </w:p>
    <w:p>
      <w:pPr>
        <w:pStyle w:val="BodyText"/>
      </w:pPr>
      <w:r>
        <w:rPr>
          <w:bCs/>
          <w:b/>
        </w:rPr>
        <w:t xml:space="preserve">数据采集层</w:t>
      </w:r>
      <w:r>
        <w:t xml:space="preserve">：负责多源数据的接入和预处理，包括文档数据、数据库数据、API接口数据等。支持多种数据源的接入和处理，包括结构化数据（数据库表、CSV文件等）、半结构化数据（XML、JSON等）和非结构化数据（Word文档、PDF文件、图片等）</w:t>
      </w:r>
    </w:p>
    <w:p>
      <w:pPr>
        <w:pStyle w:val="BodyText"/>
      </w:pPr>
      <w:r>
        <w:rPr>
          <w:bCs/>
          <w:b/>
        </w:rPr>
        <w:t xml:space="preserve">知识处理层</w:t>
      </w:r>
      <w:r>
        <w:t xml:space="preserve">：实现知识的抽取、融合、存储和管理，构建水利知识图谱。采用基于大语言模型的知识抽取技术，自动从文本中识别实体和关系。通过知识融合解决多源知识中存在的实体歧义、关系冲突等问题，构建高质量的一致性知识图谱。</w:t>
      </w:r>
    </w:p>
    <w:p>
      <w:pPr>
        <w:pStyle w:val="BodyText"/>
      </w:pPr>
      <w:r>
        <w:rPr>
          <w:bCs/>
          <w:b/>
        </w:rPr>
        <w:t xml:space="preserve">智能应用层</w:t>
      </w:r>
      <w:r>
        <w:t xml:space="preserve">：作为整个知识平台的核心服务层，基于智能体技术架构提供智能化水利业务服务。该层通过多智能体协作机制实现复杂水利任务的自动化处理，具体实现方式包括：</w:t>
      </w:r>
    </w:p>
    <w:p>
      <w:pPr>
        <w:numPr>
          <w:ilvl w:val="0"/>
          <w:numId w:val="1001"/>
        </w:numPr>
      </w:pPr>
      <w:r>
        <w:rPr>
          <w:bCs/>
          <w:b/>
        </w:rPr>
        <w:t xml:space="preserve">智能体编排系统</w:t>
      </w:r>
      <w:r>
        <w:t xml:space="preserve">：构建协调智能体、专业智能体和工具智能体的三层协作架构。协调智能体负责任务分解和智能体调度，专业智能体针对防洪调度、水资源管理等特定业务领域进行专门化处理，工具智能体封装各类水利专业模型提供标准化调用接口。</w:t>
      </w:r>
    </w:p>
    <w:p>
      <w:pPr>
        <w:numPr>
          <w:ilvl w:val="0"/>
          <w:numId w:val="1001"/>
        </w:numPr>
      </w:pPr>
      <w:r>
        <w:rPr>
          <w:bCs/>
          <w:b/>
        </w:rPr>
        <w:t xml:space="preserve">智能工作流引擎</w:t>
      </w:r>
      <w:r>
        <w:t xml:space="preserve">：通过有向无环图（DAG）定义任务执行流程，支持顺序执行、并行处理和条件分支等复杂逻辑。工作流引擎能够根据任务类型和参数要求，动态选择合适的智能体组合和执行路径。</w:t>
      </w:r>
    </w:p>
    <w:p>
      <w:pPr>
        <w:numPr>
          <w:ilvl w:val="0"/>
          <w:numId w:val="1001"/>
        </w:numPr>
      </w:pPr>
      <w:r>
        <w:rPr>
          <w:bCs/>
          <w:b/>
        </w:rPr>
        <w:t xml:space="preserve">智能服务总线</w:t>
      </w:r>
      <w:r>
        <w:t xml:space="preserve">：提供统一的智能服务接口，支持自然语言交互和API调用两种方式。通过语义解析和意图识别，将用户请求转换为智能体可执行的任务指令，实现从用户需求到智能服务的无缝转换。</w:t>
      </w:r>
    </w:p>
    <w:p>
      <w:pPr>
        <w:numPr>
          <w:ilvl w:val="0"/>
          <w:numId w:val="1001"/>
        </w:numPr>
      </w:pPr>
      <w:r>
        <w:rPr>
          <w:bCs/>
          <w:b/>
        </w:rPr>
        <w:t xml:space="preserve">知识驱动的决策支持</w:t>
      </w:r>
      <w:r>
        <w:t xml:space="preserve">：结合知识图谱和智能体推理能力，为水利决策提供多层次支撑。包括基于历史案例的相似性匹配、基于规则的业务逻辑推理、基于模型的预测分析等多种决策支持模式。</w:t>
      </w:r>
    </w:p>
    <w:p>
      <w:pPr>
        <w:numPr>
          <w:ilvl w:val="0"/>
          <w:numId w:val="1001"/>
        </w:numPr>
      </w:pPr>
      <w:r>
        <w:rPr>
          <w:bCs/>
          <w:b/>
        </w:rPr>
        <w:t xml:space="preserve">多模态智能交互</w:t>
      </w:r>
      <w:r>
        <w:t xml:space="preserve">：支持文本、语音、图像等多种交互方式，通过多模态融合技术实现自然的人机交互。智能体系统能够理解用户的多样化表达，提供更加友好和便捷的服务体验。</w:t>
      </w:r>
    </w:p>
    <w:p>
      <w:pPr>
        <w:pStyle w:val="FirstParagraph"/>
      </w:pPr>
      <w:r>
        <w:rPr>
          <w:bCs/>
          <w:b/>
        </w:rPr>
        <w:t xml:space="preserve">用户交互层</w:t>
      </w:r>
      <w:r>
        <w:t xml:space="preserve">：提供Web界面、移动端应用、API接口等多种交互方式。支持自然语言交互，用户可以通过自然语言提问获取所需知识。同时，提供可视化展示功能，通过图表、地图等形式直观展示决策信息。</w:t>
      </w:r>
    </w:p>
    <w:p>
      <w:pPr>
        <w:pStyle w:val="BodyText"/>
      </w:pPr>
      <w:r>
        <w:t xml:space="preserve">4.3 关键技术实现</w:t>
      </w:r>
    </w:p>
    <w:p>
      <w:pPr>
        <w:pStyle w:val="BodyText"/>
      </w:pPr>
      <w:r>
        <w:t xml:space="preserve">基于大模型的知识图谱构建技术</w:t>
      </w:r>
    </w:p>
    <w:p>
      <w:pPr>
        <w:pStyle w:val="BodyText"/>
      </w:pPr>
      <w:r>
        <w:t xml:space="preserve">针对水利领域标注数据稀缺的问题，采用基于大语言模型的实体关系抽取技术。通过精心设计的提示词模板，引导大语言模型从未标注文本中抽取实体和关系。提示词模板包含任务描述、结构模板和示例演示三个部分，确保模型能够准确理解任务需求。</w:t>
      </w:r>
    </w:p>
    <w:p>
      <w:pPr>
        <w:pStyle w:val="BodyText"/>
      </w:pPr>
      <w:r>
        <w:t xml:space="preserve">多模态知识融合技术支持文本、图像、数值等多种模态信息的统一整合。对于图像数据，采用YOLOv8等目标检测模型识别关键区域，再通过CLIP等视觉编码器提取特征向量；对于数值数据，通过统计分析提取关键指标；对于文本数据，通过大语言模型提取语义信息。不同模态的信息通过统一的实体标识进行关联，形成完整的多模态知识表示。</w:t>
      </w:r>
    </w:p>
    <w:p>
      <w:pPr>
        <w:pStyle w:val="BodyText"/>
      </w:pPr>
      <w:r>
        <w:t xml:space="preserve">混合检索增强的问答技术</w:t>
      </w:r>
    </w:p>
    <w:p>
      <w:pPr>
        <w:pStyle w:val="BodyText"/>
      </w:pPr>
      <w:r>
        <w:t xml:space="preserve">采用向量检索与关键词匹配融合的混合检索策略，充分发挥两种方法的优势。向量检索基于语义相似度，能够理解查询的深层含义；关键词匹配基于字面相似度，确保检索的精确性。两种方法的结果通过加权融合算法进行合并，权重可根据实际应用场景动态调整。</w:t>
      </w:r>
    </w:p>
    <w:p>
      <w:pPr>
        <w:pStyle w:val="BodyText"/>
      </w:pPr>
      <w:r>
        <w:t xml:space="preserve">向量相似度计算采用余弦相似度公式：</w:t>
      </w:r>
    </w:p>
    <w:p>
      <w:pPr>
        <w:pStyle w:val="BodyText"/>
      </w:pPr>
      <m:oMathPara>
        <m:oMathParaPr>
          <m:jc m:val="center"/>
        </m:oMathParaPr>
        <m:oMath>
          <m:r>
            <m:rPr>
              <m:nor/>
              <m:sty m:val="p"/>
            </m:rPr>
            <m:t>sim</m:t>
          </m:r>
          <m:d>
            <m:dPr>
              <m:begChr m:val="("/>
              <m:endChr m:val=")"/>
              <m:sepChr m:val=""/>
              <m:grow/>
            </m:dPr>
            <m:e>
              <m:r>
                <m:t>u</m:t>
              </m:r>
              <m:r>
                <m:rPr>
                  <m:sty m:val="p"/>
                </m:rPr>
                <m:t>,</m:t>
              </m:r>
              <m:r>
                <m:t>v</m:t>
              </m:r>
            </m:e>
          </m:d>
          <m:r>
            <m:rPr>
              <m:sty m:val="p"/>
            </m:rPr>
            <m:t>=</m:t>
          </m:r>
          <m:f>
            <m:fPr>
              <m:type m:val="bar"/>
            </m:fPr>
            <m:num>
              <m:r>
                <m:t>u</m:t>
              </m:r>
              <m:r>
                <m:rPr>
                  <m:sty m:val="p"/>
                </m:rPr>
                <m:t>⋅</m:t>
              </m:r>
              <m:r>
                <m:t>v</m:t>
              </m:r>
            </m:num>
            <m:den>
              <m:r>
                <m:rPr>
                  <m:sty m:val="p"/>
                </m:rPr>
                <m:t>∥</m:t>
              </m:r>
              <m:r>
                <m:t>u</m:t>
              </m:r>
              <m:r>
                <m:rPr>
                  <m:sty m:val="p"/>
                </m:rPr>
                <m:t>∥</m:t>
              </m:r>
              <m:r>
                <m:rPr>
                  <m:sty m:val="p"/>
                </m:rPr>
                <m:t>⋅</m:t>
              </m:r>
              <m:r>
                <m:rPr>
                  <m:sty m:val="p"/>
                </m:rPr>
                <m:t>∥</m:t>
              </m:r>
              <m:r>
                <m:t>v</m:t>
              </m:r>
              <m:r>
                <m:rPr>
                  <m:sty m:val="p"/>
                </m:rPr>
                <m:t>∥</m:t>
              </m:r>
            </m:den>
          </m:f>
          <m:r>
            <m:rPr>
              <m:sty m:val="p"/>
            </m:rPr>
            <m:t>=</m:t>
          </m:r>
          <m:f>
            <m:fPr>
              <m:type m:val="bar"/>
            </m:fPr>
            <m:num>
              <m:nary>
                <m:naryPr>
                  <m:chr m:val="∑"/>
                  <m:limLoc m:val="undOvr"/>
                  <m:subHide m:val="0"/>
                  <m:supHide m:val="0"/>
                </m:naryPr>
                <m:sub>
                  <m:r>
                    <m:t>i</m:t>
                  </m:r>
                  <m:r>
                    <m:rPr>
                      <m:sty m:val="p"/>
                    </m:rPr>
                    <m:t>=</m:t>
                  </m:r>
                  <m:r>
                    <m:t>1</m:t>
                  </m:r>
                </m:sub>
                <m:sup>
                  <m:r>
                    <m:t>n</m:t>
                  </m:r>
                </m:sup>
                <m:e>
                  <m:sSub>
                    <m:e>
                      <m:r>
                        <m:t>u</m:t>
                      </m:r>
                    </m:e>
                    <m:sub>
                      <m:r>
                        <m:t>i</m:t>
                      </m:r>
                    </m:sub>
                  </m:sSub>
                </m:e>
              </m:nary>
              <m:sSub>
                <m:e>
                  <m:r>
                    <m:t>v</m:t>
                  </m:r>
                </m:e>
                <m:sub>
                  <m:r>
                    <m:t>i</m:t>
                  </m:r>
                </m:sub>
              </m:sSub>
            </m:num>
            <m:den>
              <m:rad>
                <m:radPr>
                  <m:degHide m:val="1"/>
                </m:radPr>
                <m:deg/>
                <m:e>
                  <m:nary>
                    <m:naryPr>
                      <m:chr m:val="∑"/>
                      <m:limLoc m:val="undOvr"/>
                      <m:subHide m:val="0"/>
                      <m:supHide m:val="0"/>
                    </m:naryPr>
                    <m:sub>
                      <m:r>
                        <m:t>i</m:t>
                      </m:r>
                      <m:r>
                        <m:rPr>
                          <m:sty m:val="p"/>
                        </m:rPr>
                        <m:t>=</m:t>
                      </m:r>
                      <m:r>
                        <m:t>1</m:t>
                      </m:r>
                    </m:sub>
                    <m:sup>
                      <m:r>
                        <m:t>n</m:t>
                      </m:r>
                    </m:sup>
                    <m:e>
                      <m:sSubSup>
                        <m:e>
                          <m:r>
                            <m:t>u</m:t>
                          </m:r>
                        </m:e>
                        <m:sub>
                          <m:r>
                            <m:t>i</m:t>
                          </m:r>
                        </m:sub>
                        <m:sup>
                          <m:r>
                            <m:t>2</m:t>
                          </m:r>
                        </m:sup>
                      </m:sSubSup>
                    </m:e>
                  </m:nary>
                </m:e>
              </m:rad>
              <m:rad>
                <m:radPr>
                  <m:degHide m:val="1"/>
                </m:radPr>
                <m:deg/>
                <m:e>
                  <m:nary>
                    <m:naryPr>
                      <m:chr m:val="∑"/>
                      <m:limLoc m:val="undOvr"/>
                      <m:subHide m:val="0"/>
                      <m:supHide m:val="0"/>
                    </m:naryPr>
                    <m:sub>
                      <m:r>
                        <m:t>i</m:t>
                      </m:r>
                      <m:r>
                        <m:rPr>
                          <m:sty m:val="p"/>
                        </m:rPr>
                        <m:t>=</m:t>
                      </m:r>
                      <m:r>
                        <m:t>1</m:t>
                      </m:r>
                    </m:sub>
                    <m:sup>
                      <m:r>
                        <m:t>n</m:t>
                      </m:r>
                    </m:sup>
                    <m:e>
                      <m:sSubSup>
                        <m:e>
                          <m:r>
                            <m:t>v</m:t>
                          </m:r>
                        </m:e>
                        <m:sub>
                          <m:r>
                            <m:t>i</m:t>
                          </m:r>
                        </m:sub>
                        <m:sup>
                          <m:r>
                            <m:t>2</m:t>
                          </m:r>
                        </m:sup>
                      </m:sSubSup>
                    </m:e>
                  </m:nary>
                </m:e>
              </m:rad>
            </m:den>
          </m:f>
        </m:oMath>
      </m:oMathPara>
    </w:p>
    <w:p>
      <w:pPr>
        <w:pStyle w:val="FirstParagraph"/>
      </w:pPr>
      <w:r>
        <w:t xml:space="preserve">其中，</w:t>
      </w:r>
      <m:oMath>
        <m:r>
          <m:t>u</m:t>
        </m:r>
      </m:oMath>
      <w:r>
        <w:t xml:space="preserve">和</w:t>
      </w:r>
      <m:oMath>
        <m:r>
          <m:t>v</m:t>
        </m:r>
      </m:oMath>
      <w:r>
        <w:t xml:space="preserve">分别表示查询向量和文档向量，</w:t>
      </w:r>
      <m:oMath>
        <m:r>
          <m:t>n</m:t>
        </m:r>
      </m:oMath>
      <w:r>
        <w:t xml:space="preserve">为向量维度。</w:t>
      </w:r>
    </w:p>
    <w:p>
      <w:pPr>
        <w:pStyle w:val="BodyText"/>
      </w:pPr>
      <w:r>
        <w:t xml:space="preserve">BM25算法用于关键词匹配，其相似度计算公式为：</w:t>
      </w:r>
    </w:p>
    <w:p>
      <w:pPr>
        <w:pStyle w:val="BodyText"/>
      </w:pPr>
      <m:oMathPara>
        <m:oMathParaPr>
          <m:jc m:val="center"/>
        </m:oMathParaPr>
        <m:oMath>
          <m:r>
            <m:rPr>
              <m:nor/>
              <m:sty m:val="p"/>
            </m:rPr>
            <m:t>BM25</m:t>
          </m:r>
          <m:d>
            <m:dPr>
              <m:begChr m:val="("/>
              <m:endChr m:val=")"/>
              <m:sepChr m:val=""/>
              <m:grow/>
            </m:dPr>
            <m:e>
              <m:r>
                <m:t>Q</m:t>
              </m:r>
              <m:r>
                <m:rPr>
                  <m:sty m:val="p"/>
                </m:rPr>
                <m:t>,</m:t>
              </m:r>
              <m:r>
                <m:t>D</m:t>
              </m:r>
            </m:e>
          </m:d>
          <m:r>
            <m:rPr>
              <m:sty m:val="p"/>
            </m:rPr>
            <m:t>=</m:t>
          </m:r>
          <m:nary>
            <m:naryPr>
              <m:chr m:val="∑"/>
              <m:limLoc m:val="undOvr"/>
              <m:subHide m:val="0"/>
              <m:supHide m:val="0"/>
            </m:naryPr>
            <m:sub>
              <m:r>
                <m:t>i</m:t>
              </m:r>
              <m:r>
                <m:rPr>
                  <m:sty m:val="p"/>
                </m:rPr>
                <m:t>=</m:t>
              </m:r>
              <m:r>
                <m:t>1</m:t>
              </m:r>
            </m:sub>
            <m:sup>
              <m:r>
                <m:t>n</m:t>
              </m:r>
            </m:sup>
            <m:e>
              <m:r>
                <m:rPr>
                  <m:nor/>
                  <m:sty m:val="p"/>
                </m:rPr>
                <m:t>IDF</m:t>
              </m:r>
            </m:e>
          </m:nary>
          <m:d>
            <m:dPr>
              <m:begChr m:val="("/>
              <m:endChr m:val=")"/>
              <m:sepChr m:val=""/>
              <m:grow/>
            </m:dPr>
            <m:e>
              <m:sSub>
                <m:e>
                  <m:r>
                    <m:t>q</m:t>
                  </m:r>
                </m:e>
                <m:sub>
                  <m:r>
                    <m:t>i</m:t>
                  </m:r>
                </m:sub>
              </m:sSub>
            </m:e>
          </m:d>
          <m:r>
            <m:rPr>
              <m:sty m:val="p"/>
            </m:rPr>
            <m:t>⋅</m:t>
          </m:r>
          <m:f>
            <m:fPr>
              <m:type m:val="bar"/>
            </m:fPr>
            <m:num>
              <m:r>
                <m:t>f</m:t>
              </m:r>
              <m:d>
                <m:dPr>
                  <m:begChr m:val="("/>
                  <m:endChr m:val=")"/>
                  <m:sepChr m:val=""/>
                  <m:grow/>
                </m:dPr>
                <m:e>
                  <m:sSub>
                    <m:e>
                      <m:r>
                        <m:t>q</m:t>
                      </m:r>
                    </m:e>
                    <m:sub>
                      <m:r>
                        <m:t>i</m:t>
                      </m:r>
                    </m:sub>
                  </m:sSub>
                  <m:r>
                    <m:rPr>
                      <m:sty m:val="p"/>
                    </m:rPr>
                    <m:t>,</m:t>
                  </m:r>
                  <m:r>
                    <m:t>D</m:t>
                  </m:r>
                </m:e>
              </m:d>
              <m:r>
                <m:rPr>
                  <m:sty m:val="p"/>
                </m:rPr>
                <m:t>⋅</m:t>
              </m:r>
              <m:d>
                <m:dPr>
                  <m:begChr m:val="("/>
                  <m:endChr m:val=")"/>
                  <m:sepChr m:val=""/>
                  <m:grow/>
                </m:dPr>
                <m:e>
                  <m:sSub>
                    <m:e>
                      <m:r>
                        <m:t>k</m:t>
                      </m:r>
                    </m:e>
                    <m:sub>
                      <m:r>
                        <m:t>1</m:t>
                      </m:r>
                    </m:sub>
                  </m:sSub>
                  <m:r>
                    <m:rPr>
                      <m:sty m:val="p"/>
                    </m:rPr>
                    <m:t>+</m:t>
                  </m:r>
                  <m:r>
                    <m:t>1</m:t>
                  </m:r>
                </m:e>
              </m:d>
            </m:num>
            <m:den>
              <m:r>
                <m:t>f</m:t>
              </m:r>
              <m:d>
                <m:dPr>
                  <m:begChr m:val="("/>
                  <m:endChr m:val=")"/>
                  <m:sepChr m:val=""/>
                  <m:grow/>
                </m:dPr>
                <m:e>
                  <m:sSub>
                    <m:e>
                      <m:r>
                        <m:t>q</m:t>
                      </m:r>
                    </m:e>
                    <m:sub>
                      <m:r>
                        <m:t>i</m:t>
                      </m:r>
                    </m:sub>
                  </m:sSub>
                  <m:r>
                    <m:rPr>
                      <m:sty m:val="p"/>
                    </m:rPr>
                    <m:t>,</m:t>
                  </m:r>
                  <m:r>
                    <m:t>D</m:t>
                  </m:r>
                </m:e>
              </m:d>
              <m:r>
                <m:rPr>
                  <m:sty m:val="p"/>
                </m:rPr>
                <m:t>+</m:t>
              </m:r>
              <m:sSub>
                <m:e>
                  <m:r>
                    <m:t>k</m:t>
                  </m:r>
                </m:e>
                <m:sub>
                  <m:r>
                    <m:t>1</m:t>
                  </m:r>
                </m:sub>
              </m:sSub>
              <m:r>
                <m:rPr>
                  <m:sty m:val="p"/>
                </m:rPr>
                <m:t>⋅</m:t>
              </m:r>
              <m:d>
                <m:dPr>
                  <m:begChr m:val="("/>
                  <m:endChr m:val=")"/>
                  <m:sepChr m:val=""/>
                  <m:grow/>
                </m:dPr>
                <m:e>
                  <m:r>
                    <m:t>1</m:t>
                  </m:r>
                  <m:r>
                    <m:rPr>
                      <m:sty m:val="p"/>
                    </m:rPr>
                    <m:t>−</m:t>
                  </m:r>
                  <m:r>
                    <m:t>b</m:t>
                  </m:r>
                  <m:r>
                    <m:rPr>
                      <m:sty m:val="p"/>
                    </m:rPr>
                    <m:t>+</m:t>
                  </m:r>
                  <m:r>
                    <m:t>b</m:t>
                  </m:r>
                  <m:r>
                    <m:rPr>
                      <m:sty m:val="p"/>
                    </m:rPr>
                    <m:t>⋅</m:t>
                  </m:r>
                  <m:f>
                    <m:fPr>
                      <m:type m:val="bar"/>
                    </m:fPr>
                    <m:num>
                      <m:d>
                        <m:dPr>
                          <m:begChr m:val="|"/>
                          <m:endChr m:val="|"/>
                          <m:sepChr m:val=""/>
                          <m:grow/>
                        </m:dPr>
                        <m:e>
                          <m:r>
                            <m:t>D</m:t>
                          </m:r>
                        </m:e>
                      </m:d>
                    </m:num>
                    <m:den>
                      <m:r>
                        <m:rPr>
                          <m:nor/>
                          <m:sty m:val="p"/>
                        </m:rPr>
                        <m:t>avgdl</m:t>
                      </m:r>
                    </m:den>
                  </m:f>
                </m:e>
              </m:d>
            </m:den>
          </m:f>
        </m:oMath>
      </m:oMathPara>
    </w:p>
    <w:p>
      <w:pPr>
        <w:pStyle w:val="FirstParagraph"/>
      </w:pPr>
      <w:r>
        <w:t xml:space="preserve">其中，</w:t>
      </w:r>
      <m:oMath>
        <m:r>
          <m:t>Q</m:t>
        </m:r>
      </m:oMath>
      <w:r>
        <w:t xml:space="preserve">表示查询，</w:t>
      </w:r>
      <m:oMath>
        <m:r>
          <m:t>D</m:t>
        </m:r>
      </m:oMath>
      <w:r>
        <w:t xml:space="preserve">表示文档，</w:t>
      </w:r>
      <m:oMath>
        <m:sSub>
          <m:e>
            <m:r>
              <m:t>q</m:t>
            </m:r>
          </m:e>
          <m:sub>
            <m:r>
              <m:t>i</m:t>
            </m:r>
          </m:sub>
        </m:sSub>
      </m:oMath>
      <w:r>
        <w:t xml:space="preserve">表示查询中的第</w:t>
      </w:r>
      <m:oMath>
        <m:r>
          <m:t>i</m:t>
        </m:r>
      </m:oMath>
      <w:r>
        <w:t xml:space="preserve">个词，</w:t>
      </w:r>
      <m:oMath>
        <m:r>
          <m:t>f</m:t>
        </m:r>
        <m:d>
          <m:dPr>
            <m:begChr m:val="("/>
            <m:endChr m:val=")"/>
            <m:sepChr m:val=""/>
            <m:grow/>
          </m:dPr>
          <m:e>
            <m:sSub>
              <m:e>
                <m:r>
                  <m:t>q</m:t>
                </m:r>
              </m:e>
              <m:sub>
                <m:r>
                  <m:t>i</m:t>
                </m:r>
              </m:sub>
            </m:sSub>
            <m:r>
              <m:rPr>
                <m:sty m:val="p"/>
              </m:rPr>
              <m:t>,</m:t>
            </m:r>
            <m:r>
              <m:t>D</m:t>
            </m:r>
          </m:e>
        </m:d>
      </m:oMath>
      <w:r>
        <w:t xml:space="preserve">表示词</w:t>
      </w:r>
      <m:oMath>
        <m:sSub>
          <m:e>
            <m:r>
              <m:t>q</m:t>
            </m:r>
          </m:e>
          <m:sub>
            <m:r>
              <m:t>i</m:t>
            </m:r>
          </m:sub>
        </m:sSub>
      </m:oMath>
      <w:r>
        <w:t xml:space="preserve">在文档</w:t>
      </w:r>
      <m:oMath>
        <m:r>
          <m:t>D</m:t>
        </m:r>
      </m:oMath>
      <w:r>
        <w:t xml:space="preserve">中的频率，</w:t>
      </w:r>
      <m:oMath>
        <m:d>
          <m:dPr>
            <m:begChr m:val="|"/>
            <m:endChr m:val="|"/>
            <m:sepChr m:val=""/>
            <m:grow/>
          </m:dPr>
          <m:e>
            <m:r>
              <m:t>D</m:t>
            </m:r>
          </m:e>
        </m:d>
      </m:oMath>
      <w:r>
        <w:t xml:space="preserve">表示文档长度，</w:t>
      </w:r>
      <m:oMath>
        <m:r>
          <m:rPr>
            <m:nor/>
            <m:sty m:val="p"/>
          </m:rPr>
          <m:t>avgdl</m:t>
        </m:r>
      </m:oMath>
      <w:r>
        <w:t xml:space="preserve">表示文档集中平均文档长度，</w:t>
      </w:r>
      <m:oMath>
        <m:sSub>
          <m:e>
            <m:r>
              <m:t>k</m:t>
            </m:r>
          </m:e>
          <m:sub>
            <m:r>
              <m:t>1</m:t>
            </m:r>
          </m:sub>
        </m:sSub>
      </m:oMath>
      <w:r>
        <w:t xml:space="preserve">和</w:t>
      </w:r>
      <m:oMath>
        <m:r>
          <m:t>b</m:t>
        </m:r>
      </m:oMath>
      <w:r>
        <w:t xml:space="preserve">为调节参数。</w:t>
      </w:r>
    </w:p>
    <w:p>
      <w:pPr>
        <w:pStyle w:val="BodyText"/>
      </w:pPr>
      <w:r>
        <w:t xml:space="preserve">图谱增强检索通过知识图谱的结构信息扩展查询范围，提高检索的全面性。具体实现包括实体扩展、关系推理和上下文增强三个方面。</w:t>
      </w:r>
    </w:p>
    <w:p>
      <w:pPr>
        <w:pStyle w:val="BodyText"/>
      </w:pPr>
      <w:r>
        <w:t xml:space="preserve">水利模型智能调用技术</w:t>
      </w:r>
    </w:p>
    <w:p>
      <w:pPr>
        <w:pStyle w:val="BodyText"/>
      </w:pPr>
      <w:r>
        <w:t xml:space="preserve">基于智能体技术路线的水利模型调用框架是一个完整的智能化系统，通过四个核心模块的协同工作，实现从自然语言指令到专业模型执行的自动化转换。具体技术实现如下：</w:t>
      </w:r>
    </w:p>
    <w:p>
      <w:pPr>
        <w:numPr>
          <w:ilvl w:val="0"/>
          <w:numId w:val="1002"/>
        </w:numPr>
      </w:pPr>
      <w:r>
        <w:rPr>
          <w:bCs/>
          <w:b/>
        </w:rPr>
        <w:t xml:space="preserve">意图识别模块</w:t>
      </w:r>
      <w:r>
        <w:t xml:space="preserve">：采用基于Transformer架构的深度学习模型，结合水利专业领域语料库进行微调，实现对用户自然语言查询的精准解析。该模块通过双向编码器理解上下文语义，识别用户的具体任务类型（如洪水预报、水库调度、水质评估等）和关键参数需求。其数学表达为：</w:t>
      </w:r>
    </w:p>
    <w:p>
      <w:pPr>
        <w:numPr>
          <w:ilvl w:val="0"/>
          <w:numId w:val="1000"/>
        </w:numPr>
      </w:pPr>
      <m:oMath>
        <m:r>
          <m:rPr>
            <m:nor/>
            <m:sty m:val="p"/>
          </m:rPr>
          <m:t>Intent</m:t>
        </m:r>
        <m:r>
          <m:rPr>
            <m:sty m:val="p"/>
          </m:rPr>
          <m:t>=</m:t>
        </m:r>
        <m:r>
          <m:rPr>
            <m:sty m:val="p"/>
          </m:rPr>
          <m:t>arg</m:t>
        </m:r>
        <m:sSub>
          <m:e>
            <m:r>
              <m:rPr>
                <m:sty m:val="p"/>
              </m:rPr>
              <m:t>max</m:t>
            </m:r>
          </m:e>
          <m:sub>
            <m:r>
              <m:t>i</m:t>
            </m:r>
          </m:sub>
        </m:sSub>
        <m:r>
          <m:t>P</m:t>
        </m:r>
        <m:d>
          <m:dPr>
            <m:begChr m:val="("/>
            <m:endChr m:val=")"/>
            <m:sepChr m:val=""/>
            <m:grow/>
          </m:dPr>
          <m:e>
            <m:sSub>
              <m:e>
                <m:r>
                  <m:rPr>
                    <m:nor/>
                    <m:sty m:val="p"/>
                  </m:rPr>
                  <m:t>intent</m:t>
                </m:r>
              </m:e>
              <m:sub>
                <m:r>
                  <m:t>i</m:t>
                </m:r>
              </m:sub>
            </m:sSub>
            <m:r>
              <m:rPr>
                <m:sty m:val="p"/>
              </m:rPr>
              <m:t>|</m:t>
            </m:r>
            <m:r>
              <m:rPr>
                <m:nor/>
                <m:sty m:val="p"/>
              </m:rPr>
              <m:t>query</m:t>
            </m:r>
          </m:e>
        </m:d>
      </m:oMath>
      <w:r>
        <w:br/>
      </w:r>
      <w:r>
        <w:t xml:space="preserve">其中，</w:t>
      </w:r>
      <m:oMath>
        <m:sSub>
          <m:e>
            <m:r>
              <m:rPr>
                <m:nor/>
                <m:sty m:val="p"/>
              </m:rPr>
              <m:t>intent</m:t>
            </m:r>
          </m:e>
          <m:sub>
            <m:r>
              <m:t>i</m:t>
            </m:r>
          </m:sub>
        </m:sSub>
      </m:oMath>
      <w:r>
        <w:t xml:space="preserve">表示第</w:t>
      </w:r>
      <m:oMath>
        <m:r>
          <m:t>i</m:t>
        </m:r>
      </m:oMath>
      <w:r>
        <w:t xml:space="preserve">种预定义的意图类型，query表示用户查询语句。</w:t>
      </w:r>
    </w:p>
    <w:p>
      <w:pPr>
        <w:numPr>
          <w:ilvl w:val="0"/>
          <w:numId w:val="1002"/>
        </w:numPr>
      </w:pPr>
      <w:r>
        <w:rPr>
          <w:bCs/>
          <w:b/>
        </w:rPr>
        <w:t xml:space="preserve">任务规划模块</w:t>
      </w:r>
      <w:r>
        <w:t xml:space="preserve">：基于分层任务网络（HTN）规划算法，将复杂的水利业务任务分解为可执行的原子操作序列。该模块内置水利业务流程知识库，能够根据任务类型和历史执行经验，自动生成最优的任务执行路径。构建的任务执行图表示为：</w:t>
      </w:r>
    </w:p>
    <w:p>
      <w:pPr>
        <w:numPr>
          <w:ilvl w:val="0"/>
          <w:numId w:val="1000"/>
        </w:numPr>
      </w:pPr>
      <m:oMath>
        <m:r>
          <m:rPr>
            <m:nor/>
            <m:sty m:val="p"/>
          </m:rPr>
          <m:t>Plan</m:t>
        </m:r>
        <m:r>
          <m:rPr>
            <m:sty m:val="p"/>
          </m:rPr>
          <m:t>=</m:t>
        </m:r>
        <m:r>
          <m:rPr>
            <m:sty m:val="p"/>
          </m:rPr>
          <m:t>{</m:t>
        </m:r>
        <m:sSub>
          <m:e>
            <m:r>
              <m:rPr>
                <m:nor/>
                <m:sty m:val="p"/>
              </m:rPr>
              <m:t>task</m:t>
            </m:r>
          </m:e>
          <m:sub>
            <m:r>
              <m:t>1</m:t>
            </m:r>
          </m:sub>
        </m:sSub>
        <m:r>
          <m:rPr>
            <m:sty m:val="p"/>
          </m:rPr>
          <m:t>,</m:t>
        </m:r>
        <m:sSub>
          <m:e>
            <m:r>
              <m:rPr>
                <m:nor/>
                <m:sty m:val="p"/>
              </m:rPr>
              <m:t>task</m:t>
            </m:r>
          </m:e>
          <m:sub>
            <m:r>
              <m:t>2</m:t>
            </m:r>
          </m:sub>
        </m:sSub>
        <m:r>
          <m:rPr>
            <m:sty m:val="p"/>
          </m:rPr>
          <m:t>,</m:t>
        </m:r>
        <m:r>
          <m:rPr>
            <m:sty m:val="p"/>
          </m:rPr>
          <m:t>.</m:t>
        </m:r>
        <m:r>
          <m:rPr>
            <m:sty m:val="p"/>
          </m:rPr>
          <m:t>.</m:t>
        </m:r>
        <m:r>
          <m:rPr>
            <m:sty m:val="p"/>
          </m:rPr>
          <m:t>.</m:t>
        </m:r>
        <m:r>
          <m:rPr>
            <m:sty m:val="p"/>
          </m:rPr>
          <m:t>,</m:t>
        </m:r>
        <m:sSub>
          <m:e>
            <m:r>
              <m:rPr>
                <m:nor/>
                <m:sty m:val="p"/>
              </m:rPr>
              <m:t>task</m:t>
            </m:r>
          </m:e>
          <m:sub>
            <m:r>
              <m:t>n</m:t>
            </m:r>
          </m:sub>
        </m:sSub>
        <m:r>
          <m:rPr>
            <m:sty m:val="p"/>
          </m:rPr>
          <m:t>}</m:t>
        </m:r>
      </m:oMath>
      <w:r>
        <w:br/>
      </w:r>
      <w:r>
        <w:t xml:space="preserve">其中每个</w:t>
      </w:r>
      <m:oMath>
        <m:sSub>
          <m:e>
            <m:r>
              <m:rPr>
                <m:nor/>
                <m:sty m:val="p"/>
              </m:rPr>
              <m:t>task</m:t>
            </m:r>
          </m:e>
          <m:sub>
            <m:r>
              <m:t>i</m:t>
            </m:r>
          </m:sub>
        </m:sSub>
      </m:oMath>
      <w:r>
        <w:t xml:space="preserve">包含操作类型、输入参数、前置条件和预期输出等完整信息。</w:t>
      </w:r>
    </w:p>
    <w:p>
      <w:pPr>
        <w:numPr>
          <w:ilvl w:val="0"/>
          <w:numId w:val="1002"/>
        </w:numPr>
      </w:pPr>
      <w:r>
        <w:rPr>
          <w:bCs/>
          <w:b/>
        </w:rPr>
        <w:t xml:space="preserve">模型调度模块</w:t>
      </w:r>
      <w:r>
        <w:t xml:space="preserve">：集成水利专业模型库，涵盖水文模型、水动力模型、水质模型、工程调度模型等多个类别。通过智能匹配算法，根据任务需求自动选择最适合的模型组合。采用多属性相似度匹配算法实现模型参数的智能优化：</w:t>
      </w:r>
    </w:p>
    <w:p>
      <w:pPr>
        <w:numPr>
          <w:ilvl w:val="0"/>
          <w:numId w:val="1000"/>
        </w:numPr>
      </w:pPr>
      <m:oMath>
        <m:r>
          <m:rPr>
            <m:nor/>
            <m:sty m:val="p"/>
          </m:rPr>
          <m:t>Similarity</m:t>
        </m:r>
        <m:d>
          <m:dPr>
            <m:begChr m:val="("/>
            <m:endChr m:val=")"/>
            <m:sepChr m:val=""/>
            <m:grow/>
          </m:dPr>
          <m:e>
            <m:r>
              <m:t>x</m:t>
            </m:r>
            <m:r>
              <m:rPr>
                <m:sty m:val="p"/>
              </m:rPr>
              <m:t>,</m:t>
            </m:r>
            <m:r>
              <m:t>y</m:t>
            </m:r>
          </m:e>
        </m:d>
        <m:r>
          <m:rPr>
            <m:sty m:val="p"/>
          </m:rPr>
          <m:t>=</m:t>
        </m:r>
        <m:nary>
          <m:naryPr>
            <m:chr m:val="∑"/>
            <m:limLoc m:val="undOvr"/>
            <m:subHide m:val="0"/>
            <m:supHide m:val="0"/>
          </m:naryPr>
          <m:sub>
            <m:r>
              <m:t>i</m:t>
            </m:r>
            <m:r>
              <m:rPr>
                <m:sty m:val="p"/>
              </m:rPr>
              <m:t>=</m:t>
            </m:r>
            <m:r>
              <m:t>1</m:t>
            </m:r>
          </m:sub>
          <m:sup>
            <m:r>
              <m:t>m</m:t>
            </m:r>
          </m:sup>
          <m:e>
            <m:sSub>
              <m:e>
                <m:r>
                  <m:t>w</m:t>
                </m:r>
              </m:e>
              <m:sub>
                <m:r>
                  <m:t>i</m:t>
                </m:r>
              </m:sub>
            </m:sSub>
          </m:e>
        </m:nary>
        <m:r>
          <m:rPr>
            <m:sty m:val="p"/>
          </m:rPr>
          <m:t>⋅</m:t>
        </m:r>
        <m:r>
          <m:rPr>
            <m:nor/>
            <m:sty m:val="p"/>
          </m:rPr>
          <m:t>sim</m:t>
        </m:r>
        <m:d>
          <m:dPr>
            <m:begChr m:val="("/>
            <m:endChr m:val=")"/>
            <m:sepChr m:val=""/>
            <m:grow/>
          </m:dPr>
          <m:e>
            <m:sSub>
              <m:e>
                <m:r>
                  <m:t>x</m:t>
                </m:r>
              </m:e>
              <m:sub>
                <m:r>
                  <m:t>i</m:t>
                </m:r>
              </m:sub>
            </m:sSub>
            <m:r>
              <m:rPr>
                <m:sty m:val="p"/>
              </m:rPr>
              <m:t>,</m:t>
            </m:r>
            <m:sSub>
              <m:e>
                <m:r>
                  <m:t>y</m:t>
                </m:r>
              </m:e>
              <m:sub>
                <m:r>
                  <m:t>i</m:t>
                </m:r>
              </m:sub>
            </m:sSub>
          </m:e>
        </m:d>
      </m:oMath>
    </w:p>
    <w:p>
      <w:pPr>
        <w:numPr>
          <w:ilvl w:val="0"/>
          <w:numId w:val="1000"/>
        </w:numPr>
      </w:pPr>
      <w:r>
        <w:t xml:space="preserve">其中，</w:t>
      </w:r>
      <m:oMath>
        <m:sSub>
          <m:e>
            <m:r>
              <m:t>w</m:t>
            </m:r>
          </m:e>
          <m:sub>
            <m:r>
              <m:t>i</m:t>
            </m:r>
          </m:sub>
        </m:sSub>
      </m:oMath>
      <w:r>
        <w:t xml:space="preserve">为第</w:t>
      </w:r>
      <m:oMath>
        <m:r>
          <m:t>i</m:t>
        </m:r>
      </m:oMath>
      <w:r>
        <w:t xml:space="preserve">个属性的权重，</w:t>
      </w:r>
      <m:oMath>
        <m:r>
          <m:rPr>
            <m:nor/>
            <m:sty m:val="p"/>
          </m:rPr>
          <m:t>sim</m:t>
        </m:r>
        <m:d>
          <m:dPr>
            <m:begChr m:val="("/>
            <m:endChr m:val=")"/>
            <m:sepChr m:val=""/>
            <m:grow/>
          </m:dPr>
          <m:e>
            <m:sSub>
              <m:e>
                <m:r>
                  <m:t>x</m:t>
                </m:r>
              </m:e>
              <m:sub>
                <m:r>
                  <m:t>i</m:t>
                </m:r>
              </m:sub>
            </m:sSub>
            <m:r>
              <m:rPr>
                <m:sty m:val="p"/>
              </m:rPr>
              <m:t>,</m:t>
            </m:r>
            <m:sSub>
              <m:e>
                <m:r>
                  <m:t>y</m:t>
                </m:r>
              </m:e>
              <m:sub>
                <m:r>
                  <m:t>i</m:t>
                </m:r>
              </m:sub>
            </m:sSub>
          </m:e>
        </m:d>
      </m:oMath>
      <w:r>
        <w:t xml:space="preserve">为第</w:t>
      </w:r>
      <m:oMath>
        <m:r>
          <m:t>i</m:t>
        </m:r>
      </m:oMath>
      <w:r>
        <w:t xml:space="preserve">个属性的相似度函数。该算法能够有效处理不同量纲的参数，减少极值干扰，提高参数匹配的准确性。</w:t>
      </w:r>
    </w:p>
    <w:p>
      <w:pPr>
        <w:numPr>
          <w:ilvl w:val="0"/>
          <w:numId w:val="1002"/>
        </w:numPr>
      </w:pPr>
      <w:r>
        <w:rPr>
          <w:bCs/>
          <w:b/>
        </w:rPr>
        <w:t xml:space="preserve">结果评估模块</w:t>
      </w:r>
      <w:r>
        <w:t xml:space="preserve">：建立多维度的模型执行结果质量评估体系，包括精度评估、合理性检验、一致性验证等多个维度。采用基于专家知识和历史数据的加权评分机制：</w:t>
      </w:r>
    </w:p>
    <w:p>
      <w:pPr>
        <w:numPr>
          <w:ilvl w:val="0"/>
          <w:numId w:val="1000"/>
        </w:numPr>
      </w:pPr>
      <m:oMath>
        <m:r>
          <m:rPr>
            <m:nor/>
            <m:sty m:val="p"/>
          </m:rPr>
          <m:t>Score</m:t>
        </m:r>
        <m:r>
          <m:rPr>
            <m:sty m:val="p"/>
          </m:rPr>
          <m:t>=</m:t>
        </m:r>
        <m:nary>
          <m:naryPr>
            <m:chr m:val="∑"/>
            <m:limLoc m:val="undOvr"/>
            <m:subHide m:val="0"/>
            <m:supHide m:val="0"/>
          </m:naryPr>
          <m:sub>
            <m:r>
              <m:t>j</m:t>
            </m:r>
            <m:r>
              <m:rPr>
                <m:sty m:val="p"/>
              </m:rPr>
              <m:t>=</m:t>
            </m:r>
            <m:r>
              <m:t>1</m:t>
            </m:r>
          </m:sub>
          <m:sup>
            <m:r>
              <m:t>k</m:t>
            </m:r>
          </m:sup>
          <m:e>
            <m:sSub>
              <m:e>
                <m:r>
                  <m:t>α</m:t>
                </m:r>
              </m:e>
              <m:sub>
                <m:r>
                  <m:t>j</m:t>
                </m:r>
              </m:sub>
            </m:sSub>
          </m:e>
        </m:nary>
        <m:r>
          <m:rPr>
            <m:sty m:val="p"/>
          </m:rPr>
          <m:t>⋅</m:t>
        </m:r>
        <m:sSub>
          <m:e>
            <m:r>
              <m:rPr>
                <m:nor/>
                <m:sty m:val="p"/>
              </m:rPr>
              <m:t>metric</m:t>
            </m:r>
          </m:e>
          <m:sub>
            <m:r>
              <m:t>j</m:t>
            </m:r>
          </m:sub>
        </m:sSub>
      </m:oMath>
    </w:p>
    <w:p>
      <w:pPr>
        <w:numPr>
          <w:ilvl w:val="0"/>
          <w:numId w:val="1000"/>
        </w:numPr>
      </w:pPr>
      <w:r>
        <w:t xml:space="preserve">其中，</w:t>
      </w:r>
      <m:oMath>
        <m:sSub>
          <m:e>
            <m:r>
              <m:t>α</m:t>
            </m:r>
          </m:e>
          <m:sub>
            <m:r>
              <m:t>j</m:t>
            </m:r>
          </m:sub>
        </m:sSub>
      </m:oMath>
      <w:r>
        <w:t xml:space="preserve">为第</w:t>
      </w:r>
      <m:oMath>
        <m:r>
          <m:t>j</m:t>
        </m:r>
      </m:oMath>
      <w:r>
        <w:t xml:space="preserve">个评估指标的权重，</w:t>
      </w:r>
      <m:oMath>
        <m:sSub>
          <m:e>
            <m:r>
              <m:rPr>
                <m:nor/>
                <m:sty m:val="p"/>
              </m:rPr>
              <m:t>metric</m:t>
            </m:r>
          </m:e>
          <m:sub>
            <m:r>
              <m:t>j</m:t>
            </m:r>
          </m:sub>
        </m:sSub>
      </m:oMath>
      <w:r>
        <w:t xml:space="preserve">为第</w:t>
      </w:r>
      <m:oMath>
        <m:r>
          <m:t>j</m:t>
        </m:r>
      </m:oMath>
      <w:r>
        <w:t xml:space="preserve">个评估指标的值。该模块还具备自动优化能力，能够根据评估结果调整模型参数或选择替代模型。</w:t>
      </w:r>
    </w:p>
    <w:p>
      <w:pPr>
        <w:pStyle w:val="FirstParagraph"/>
      </w:pPr>
      <w:r>
        <w:t xml:space="preserve">提出多属性相似度匹配算法，通过加权统计自适应距离计算方法提升匹配精度。该方法有效减少了量纲差异和极值干扰，提高了匹配的合理性。知识关联推理体系基于"实体(属性)-关系-实体(属性)"的知识关联模式，支持复杂的关联查询和推理。</w:t>
      </w:r>
    </w:p>
    <w:p>
      <w:pPr>
        <w:pStyle w:val="BodyText"/>
      </w:pPr>
      <w:r>
        <w:t xml:space="preserve">综上所述，水利模型智能调用技术通过构建从自然语言理解到专业模型执行的完整技术链条，实现了水利模型调用的智能化、自动化和标准化。该技术体系不仅显著降低了水利专业模型的使用门槛，使非专业用户能够通过自然语言便捷调用复杂模型，更重要的是建立了模型参数优化、执行过程监控和结果质量评估的闭环控制机制。通过多智能体协作和知识图谱增强，该技术能够处理复杂多变的业务场景，支持多模型协同计算，为水利精准化决策提供了强有力的技术支撑，具有重要的理论价值和广阔的应用前景。</w:t>
      </w:r>
    </w:p>
    <w:p>
      <w:pPr>
        <w:pStyle w:val="BodyText"/>
      </w:pPr>
      <w:r>
        <w:t xml:space="preserve">5 结束语</w:t>
      </w:r>
    </w:p>
    <w:p>
      <w:pPr>
        <w:pStyle w:val="BodyText"/>
      </w:pPr>
      <w:r>
        <w:t xml:space="preserve">本文针对传统水利知识平台建设中存在的知识碎片化、检索效率低、决策支持不足等问题，提出了基于大语言模型与知识图谱融合的数字孪生水利知识平台建设方案。通过构建"数据-知识-模型"耦合框架，实现了多源异构数据的统一管理和智能服务，为数字孪生流域建设提供了理论支撑和技术路径。</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2025-11-04T07:53:07Z</dcterms:created>
  <dcterms:modified xsi:type="dcterms:W3CDTF">2025-11-04T07:53:07Z</dcterms:modified>
</cp:coreProperties>
</file>

<file path=docProps/custom.xml><?xml version="1.0" encoding="utf-8"?>
<Properties xmlns="http://schemas.openxmlformats.org/officeDocument/2006/custom-properties" xmlns:vt="http://schemas.openxmlformats.org/officeDocument/2006/docPropsVTypes"/>
</file>