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21" w:rsidRDefault="00F41C21" w:rsidP="00F41C21">
      <w:pPr>
        <w:ind w:left="-5"/>
      </w:pPr>
    </w:p>
    <w:p w:rsidR="00F41C21" w:rsidRDefault="00F41C21" w:rsidP="00F41C21">
      <w:pPr>
        <w:ind w:left="-5"/>
      </w:pPr>
      <w:r>
        <w:t xml:space="preserve"> </w:t>
      </w:r>
    </w:p>
    <w:p w:rsidR="00C47804" w:rsidRDefault="00C47804" w:rsidP="00F41C21">
      <w:pPr>
        <w:ind w:left="-5"/>
      </w:pPr>
    </w:p>
    <w:p w:rsidR="00C47804" w:rsidRDefault="00C47804" w:rsidP="00F41C21">
      <w:pPr>
        <w:ind w:left="-5"/>
      </w:pPr>
    </w:p>
    <w:p w:rsidR="00F41C21" w:rsidRDefault="00F41C21" w:rsidP="00F41C21">
      <w:pPr>
        <w:ind w:left="-5"/>
      </w:pPr>
      <w:r>
        <w:t xml:space="preserve"> </w:t>
      </w:r>
    </w:p>
    <w:p w:rsidR="00725B70" w:rsidRDefault="00725B70" w:rsidP="00F41C21">
      <w:pPr>
        <w:ind w:left="-5"/>
      </w:pPr>
      <w:bookmarkStart w:id="0" w:name="_GoBack"/>
      <w:bookmarkEnd w:id="0"/>
    </w:p>
    <w:p w:rsidR="00F41C21" w:rsidRDefault="00F41C21" w:rsidP="00F41C21">
      <w:pPr>
        <w:ind w:left="-5"/>
      </w:pPr>
      <w:r>
        <w:t xml:space="preserve"> </w:t>
      </w:r>
    </w:p>
    <w:p w:rsidR="00F41C21" w:rsidRDefault="00F41C21" w:rsidP="00F41C21">
      <w:pPr>
        <w:ind w:left="-5"/>
      </w:pPr>
      <w:r>
        <w:t xml:space="preserve"> </w:t>
      </w:r>
    </w:p>
    <w:p w:rsidR="00F41C21" w:rsidRDefault="00CF6E59" w:rsidP="00273E13">
      <w:pPr>
        <w:ind w:left="-5"/>
        <w:jc w:val="center"/>
      </w:pPr>
      <w:r>
        <w:t>Техническое задание на</w:t>
      </w:r>
      <w:r w:rsidR="00F41C21">
        <w:t xml:space="preserve"> закупку оборудования (системные блоки ПК)</w:t>
      </w:r>
    </w:p>
    <w:p w:rsidR="00F41C21" w:rsidRPr="00CF6E59" w:rsidRDefault="00F41C21" w:rsidP="00273E13">
      <w:pPr>
        <w:ind w:left="-5"/>
        <w:jc w:val="center"/>
      </w:pPr>
      <w:r>
        <w:t xml:space="preserve">в целях развития </w:t>
      </w:r>
      <w:r w:rsidR="00CF6E59">
        <w:t>«</w:t>
      </w:r>
      <w:r w:rsidR="00406528">
        <w:t>Наименование Компании</w:t>
      </w:r>
      <w:r w:rsidR="00CF6E59">
        <w:t>»</w:t>
      </w:r>
    </w:p>
    <w:p w:rsidR="00F41C21" w:rsidRDefault="00F41C21" w:rsidP="00F41C21">
      <w:pPr>
        <w:ind w:left="-5"/>
      </w:pPr>
      <w:r>
        <w:t xml:space="preserve"> </w:t>
      </w:r>
    </w:p>
    <w:p w:rsidR="00C47804" w:rsidRDefault="00725B70" w:rsidP="00725B70">
      <w:pPr>
        <w:ind w:left="-5"/>
      </w:pPr>
      <w:r>
        <w:t xml:space="preserve"> </w:t>
      </w:r>
    </w:p>
    <w:p w:rsidR="00C47804" w:rsidRDefault="00C47804" w:rsidP="00F41C21">
      <w:pPr>
        <w:ind w:left="-5"/>
      </w:pPr>
    </w:p>
    <w:p w:rsidR="00C47804" w:rsidRDefault="00C47804" w:rsidP="00F41C21">
      <w:pPr>
        <w:ind w:left="-5"/>
      </w:pPr>
    </w:p>
    <w:p w:rsidR="00C47804" w:rsidRDefault="00C47804" w:rsidP="00F41C21">
      <w:pPr>
        <w:ind w:left="-5"/>
      </w:pPr>
    </w:p>
    <w:p w:rsidR="00F41C21" w:rsidRDefault="00F41C21" w:rsidP="00F41C21">
      <w:pPr>
        <w:ind w:left="-5"/>
      </w:pPr>
    </w:p>
    <w:p w:rsidR="00F41C21" w:rsidRDefault="00F41C21" w:rsidP="00F41C21">
      <w:pPr>
        <w:ind w:left="-5"/>
      </w:pPr>
      <w:r>
        <w:t xml:space="preserve"> </w:t>
      </w:r>
    </w:p>
    <w:p w:rsidR="00F41C21" w:rsidRDefault="00F41C21" w:rsidP="00F41C21">
      <w:pPr>
        <w:ind w:left="-5"/>
      </w:pPr>
      <w:r>
        <w:t xml:space="preserve"> </w:t>
      </w:r>
    </w:p>
    <w:p w:rsidR="00F41C21" w:rsidRDefault="00F41C21" w:rsidP="00F41C21">
      <w:pPr>
        <w:ind w:left="-5"/>
      </w:pPr>
      <w:r>
        <w:t xml:space="preserve"> </w:t>
      </w:r>
    </w:p>
    <w:p w:rsidR="00F41C21" w:rsidRDefault="00F41C21" w:rsidP="00C47804">
      <w:pPr>
        <w:ind w:left="-5" w:hanging="10"/>
        <w:jc w:val="right"/>
      </w:pPr>
      <w:r>
        <w:t>СОГЛАСОВАНО:</w:t>
      </w:r>
    </w:p>
    <w:p w:rsidR="00F41C21" w:rsidRDefault="00F41C21" w:rsidP="00C47804">
      <w:pPr>
        <w:ind w:left="-5"/>
        <w:jc w:val="right"/>
      </w:pPr>
      <w:r>
        <w:t xml:space="preserve">Начальник Департамента </w:t>
      </w:r>
      <w:r>
        <w:t>контрактации и</w:t>
      </w:r>
      <w:r>
        <w:t xml:space="preserve"> качества</w:t>
      </w:r>
    </w:p>
    <w:p w:rsidR="00F41C21" w:rsidRDefault="00F41C21" w:rsidP="00C47804">
      <w:pPr>
        <w:ind w:left="-5"/>
        <w:jc w:val="right"/>
      </w:pPr>
    </w:p>
    <w:p w:rsidR="00F41C21" w:rsidRDefault="00C47804" w:rsidP="00C47804">
      <w:pPr>
        <w:ind w:left="-5"/>
        <w:jc w:val="right"/>
      </w:pPr>
      <w:r>
        <w:t>______________</w:t>
      </w:r>
    </w:p>
    <w:p w:rsidR="00F41C21" w:rsidRDefault="00C47804" w:rsidP="00C47804">
      <w:pPr>
        <w:ind w:left="-5"/>
        <w:jc w:val="right"/>
      </w:pPr>
      <w:r>
        <w:t>(подпись)</w:t>
      </w:r>
    </w:p>
    <w:p w:rsidR="00C47804" w:rsidRDefault="00F41C21" w:rsidP="00725B70">
      <w:pPr>
        <w:ind w:left="-5"/>
        <w:jc w:val="right"/>
      </w:pPr>
      <w:r>
        <w:t>«____» _______________ 2021</w:t>
      </w:r>
      <w:r>
        <w:t>г.</w:t>
      </w:r>
    </w:p>
    <w:p w:rsidR="00F41C21" w:rsidRDefault="00F41C21" w:rsidP="00725B70"/>
    <w:p w:rsidR="00F41C21" w:rsidRDefault="00F41C21" w:rsidP="00F41C21">
      <w:pPr>
        <w:ind w:left="-5"/>
      </w:pPr>
      <w:r>
        <w:t xml:space="preserve"> </w:t>
      </w:r>
    </w:p>
    <w:p w:rsidR="00F41C21" w:rsidRDefault="00F41C21" w:rsidP="00273E13">
      <w:pPr>
        <w:ind w:left="-5"/>
        <w:jc w:val="center"/>
      </w:pPr>
      <w:r>
        <w:t xml:space="preserve">г. </w:t>
      </w:r>
      <w:r w:rsidR="00C47804">
        <w:t>Санкт-Петербург</w:t>
      </w:r>
    </w:p>
    <w:p w:rsidR="00803CD6" w:rsidRDefault="00C47804" w:rsidP="00C47804">
      <w:pPr>
        <w:ind w:left="-5"/>
        <w:jc w:val="center"/>
      </w:pPr>
      <w:r>
        <w:t>2021</w:t>
      </w:r>
    </w:p>
    <w:p w:rsidR="00C47804" w:rsidRDefault="00C47804" w:rsidP="00C47804">
      <w:pPr>
        <w:ind w:left="-5"/>
        <w:jc w:val="center"/>
      </w:pPr>
      <w:r>
        <w:lastRenderedPageBreak/>
        <w:t>Наименование Заказчика: ______________________________</w:t>
      </w:r>
      <w:r>
        <w:t>_______________________________</w:t>
      </w:r>
      <w:r>
        <w:t>_</w:t>
      </w:r>
    </w:p>
    <w:p w:rsidR="00C47804" w:rsidRDefault="00C47804" w:rsidP="00C47804">
      <w:pPr>
        <w:ind w:left="-5"/>
        <w:jc w:val="center"/>
      </w:pPr>
      <w:r>
        <w:t xml:space="preserve">Место нахождения: </w:t>
      </w:r>
      <w:r>
        <w:t>____________________________________________________________________</w:t>
      </w:r>
    </w:p>
    <w:p w:rsidR="00C47804" w:rsidRDefault="00C47804" w:rsidP="00C47804">
      <w:pPr>
        <w:ind w:left="-5"/>
        <w:jc w:val="center"/>
      </w:pPr>
      <w:r>
        <w:t>Контактный телефон:</w:t>
      </w:r>
      <w:r>
        <w:t xml:space="preserve"> __________________________________________________________________</w:t>
      </w:r>
    </w:p>
    <w:p w:rsidR="00C47804" w:rsidRPr="00C47804" w:rsidRDefault="00C47804" w:rsidP="00C47804">
      <w:pPr>
        <w:ind w:left="-5"/>
        <w:jc w:val="center"/>
      </w:pPr>
    </w:p>
    <w:p w:rsidR="00803CD6" w:rsidRDefault="00595B0B">
      <w:pPr>
        <w:numPr>
          <w:ilvl w:val="0"/>
          <w:numId w:val="1"/>
        </w:numPr>
        <w:ind w:hanging="283"/>
      </w:pPr>
      <w:r>
        <w:t xml:space="preserve">Функциональные, технические и качественные характеристики оборудования: </w:t>
      </w:r>
    </w:p>
    <w:p w:rsidR="00803CD6" w:rsidRDefault="00595B0B">
      <w:pPr>
        <w:spacing w:after="0" w:line="259" w:lineRule="auto"/>
      </w:pP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2702"/>
        <w:gridCol w:w="1677"/>
        <w:gridCol w:w="778"/>
        <w:gridCol w:w="2056"/>
        <w:gridCol w:w="1336"/>
      </w:tblGrid>
      <w:tr w:rsidR="00C8287D" w:rsidRPr="00C8287D" w:rsidTr="00C641D9">
        <w:trPr>
          <w:trHeight w:val="276"/>
        </w:trPr>
        <w:tc>
          <w:tcPr>
            <w:tcW w:w="912" w:type="pct"/>
            <w:vMerge w:val="restart"/>
            <w:vAlign w:val="center"/>
          </w:tcPr>
          <w:p w:rsidR="00C8287D" w:rsidRPr="00C8287D" w:rsidRDefault="00C8287D" w:rsidP="00C641D9">
            <w:r w:rsidRPr="00C8287D">
              <w:t>Наименование товара</w:t>
            </w:r>
          </w:p>
        </w:tc>
        <w:tc>
          <w:tcPr>
            <w:tcW w:w="2466" w:type="pct"/>
            <w:gridSpan w:val="3"/>
            <w:vAlign w:val="center"/>
          </w:tcPr>
          <w:p w:rsidR="00C8287D" w:rsidRPr="00C8287D" w:rsidRDefault="00C8287D" w:rsidP="00C641D9">
            <w:r w:rsidRPr="00C8287D">
              <w:t>Функциональные, технические, качественные, эксплуатационные характеристики товара</w:t>
            </w:r>
          </w:p>
        </w:tc>
        <w:tc>
          <w:tcPr>
            <w:tcW w:w="982" w:type="pct"/>
            <w:vMerge w:val="restart"/>
            <w:vAlign w:val="center"/>
          </w:tcPr>
          <w:p w:rsidR="00C8287D" w:rsidRPr="00C8287D" w:rsidRDefault="00C8287D" w:rsidP="00C641D9">
            <w:r w:rsidRPr="00C8287D">
              <w:t>Параметры характеристик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C641D9" w:rsidP="00C641D9">
            <w:r>
              <w:t>Кол-во</w:t>
            </w:r>
          </w:p>
        </w:tc>
      </w:tr>
      <w:tr w:rsidR="00C8287D" w:rsidRPr="00C8287D" w:rsidTr="00C641D9">
        <w:trPr>
          <w:trHeight w:val="318"/>
        </w:trPr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641D9">
            <w:r w:rsidRPr="00C8287D">
              <w:t>Наименование характеристики</w:t>
            </w:r>
          </w:p>
        </w:tc>
        <w:tc>
          <w:tcPr>
            <w:tcW w:w="1174" w:type="pct"/>
            <w:gridSpan w:val="2"/>
            <w:vAlign w:val="center"/>
          </w:tcPr>
          <w:p w:rsidR="00C8287D" w:rsidRPr="00C8287D" w:rsidRDefault="00C8287D" w:rsidP="00C641D9">
            <w:r w:rsidRPr="00C8287D">
              <w:t>Значение характеристики</w:t>
            </w:r>
          </w:p>
        </w:tc>
        <w:tc>
          <w:tcPr>
            <w:tcW w:w="98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Align w:val="center"/>
          </w:tcPr>
          <w:p w:rsidR="00C8287D" w:rsidRPr="00C8287D" w:rsidRDefault="00C8287D" w:rsidP="00C641D9">
            <w:r w:rsidRPr="00C8287D">
              <w:t>1. Персональный компьютер в сборе:</w:t>
            </w:r>
          </w:p>
        </w:tc>
        <w:tc>
          <w:tcPr>
            <w:tcW w:w="3449" w:type="pct"/>
            <w:gridSpan w:val="4"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Монитор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Цвет корпуса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Черный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Del="009B7373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Светодиодная (LED) подсветка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Поверхность экрана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Матовая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Входной разъем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DVI-D, VGA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Формат экрана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16:9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Наклон вниз и вверх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Диагональ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24 дюйма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Разрешение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1920 x 1080 пикселей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Яркость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250 кд/м²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Контрастность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1000:1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Динамическая контрастность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12000000:1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</w:tcPr>
          <w:p w:rsidR="00C8287D" w:rsidRPr="00C8287D" w:rsidRDefault="00C8287D" w:rsidP="00C8287D">
            <w:pPr>
              <w:ind w:left="279"/>
            </w:pPr>
            <w:r w:rsidRPr="00C8287D">
              <w:t>Угол обзора</w:t>
            </w:r>
          </w:p>
          <w:p w:rsidR="00C8287D" w:rsidRPr="00C8287D" w:rsidRDefault="00C8287D" w:rsidP="00C8287D">
            <w:pPr>
              <w:ind w:left="279"/>
            </w:pPr>
            <w:r w:rsidRPr="00C8287D">
              <w:t>по горизонтали</w:t>
            </w:r>
          </w:p>
          <w:p w:rsidR="00C8287D" w:rsidRPr="00C8287D" w:rsidRDefault="00C8287D" w:rsidP="00C8287D">
            <w:pPr>
              <w:ind w:left="279"/>
            </w:pPr>
            <w:r w:rsidRPr="00C8287D">
              <w:t>по вертикали</w:t>
            </w:r>
          </w:p>
        </w:tc>
        <w:tc>
          <w:tcPr>
            <w:tcW w:w="802" w:type="pct"/>
          </w:tcPr>
          <w:p w:rsidR="00C8287D" w:rsidRPr="00C8287D" w:rsidRDefault="00C8287D" w:rsidP="00C8287D">
            <w:pPr>
              <w:ind w:left="279"/>
            </w:pPr>
            <w:r w:rsidRPr="00C8287D">
              <w:t>Не менее 170 градусов</w:t>
            </w:r>
          </w:p>
          <w:p w:rsidR="00C8287D" w:rsidRPr="00C8287D" w:rsidRDefault="00C8287D" w:rsidP="00C8287D">
            <w:pPr>
              <w:ind w:left="279"/>
            </w:pPr>
            <w:r w:rsidRPr="00C8287D">
              <w:t>Не менее 160 градусов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Время отклика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более 2 млс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максимальное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Максимальное энергопотребление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более 25 Вт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Энергопотребление в режиме энергосбережения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более 0,5 Вт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rPr>
          <w:gridAfter w:val="5"/>
          <w:wAfter w:w="4088" w:type="pct"/>
        </w:trPr>
        <w:tc>
          <w:tcPr>
            <w:tcW w:w="91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Системный блок в сборе:</w:t>
            </w:r>
          </w:p>
        </w:tc>
      </w:tr>
      <w:tr w:rsidR="00C8287D" w:rsidRPr="00C8287D" w:rsidTr="00C641D9">
        <w:trPr>
          <w:trHeight w:val="668"/>
        </w:trPr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Корпус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Левая и правая стенки корпуса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Съёмные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Del="009B7373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rPr>
          <w:trHeight w:val="433"/>
        </w:trPr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Материал стенок корпуса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Сталь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rPr>
          <w:trHeight w:val="735"/>
        </w:trPr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Цвет исполнения системного блока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 xml:space="preserve">Черный 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rPr>
          <w:trHeight w:val="779"/>
        </w:trPr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Разъемы передней панели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2xUSB, AudioOut, Mic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 xml:space="preserve">Место под вентилятор 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120 x 120 мм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Del="00AE0C4F" w:rsidRDefault="00C8287D" w:rsidP="00C8287D">
            <w:pPr>
              <w:ind w:left="279"/>
            </w:pPr>
            <w:r w:rsidRPr="00C8287D">
              <w:t>Внешние отсеки для устройств 5,25 дюйма</w:t>
            </w:r>
            <w:r w:rsidRPr="00C8287D" w:rsidDel="00247EFD">
              <w:t xml:space="preserve"> </w:t>
            </w:r>
            <w:r w:rsidRPr="00C8287D">
              <w:t xml:space="preserve"> </w:t>
            </w:r>
          </w:p>
        </w:tc>
        <w:tc>
          <w:tcPr>
            <w:tcW w:w="802" w:type="pct"/>
            <w:vAlign w:val="center"/>
          </w:tcPr>
          <w:p w:rsidR="00C8287D" w:rsidRPr="00C8287D" w:rsidDel="00AE0C4F" w:rsidRDefault="00C8287D" w:rsidP="00C8287D">
            <w:pPr>
              <w:ind w:left="279"/>
            </w:pPr>
            <w:r w:rsidRPr="00C8287D">
              <w:t>Не менее 2 шт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Del="009B7373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Del="00AE0C4F" w:rsidRDefault="00C8287D" w:rsidP="00C8287D">
            <w:pPr>
              <w:ind w:left="279"/>
            </w:pPr>
            <w:r w:rsidRPr="00C8287D">
              <w:t>Количество отсеков для установки жёстких дисков 3.5 дюйма</w:t>
            </w:r>
          </w:p>
        </w:tc>
        <w:tc>
          <w:tcPr>
            <w:tcW w:w="802" w:type="pct"/>
            <w:vAlign w:val="center"/>
          </w:tcPr>
          <w:p w:rsidR="00C8287D" w:rsidRPr="00C8287D" w:rsidDel="00AE0C4F" w:rsidRDefault="00C8287D" w:rsidP="00C8287D">
            <w:pPr>
              <w:ind w:left="279"/>
            </w:pPr>
            <w:r w:rsidRPr="00C8287D">
              <w:t>Не менее 2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Del="009B7373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Блок питания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Мощность блока питания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400 Вт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Размер вентилятора блока питания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120 х 120 мм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Кулер для процессора</w:t>
            </w:r>
          </w:p>
        </w:tc>
        <w:tc>
          <w:tcPr>
            <w:tcW w:w="1292" w:type="pct"/>
            <w:vAlign w:val="center"/>
          </w:tcPr>
          <w:p w:rsidR="00C8287D" w:rsidRPr="00C8287D" w:rsidDel="00AE0C4F" w:rsidRDefault="00C8287D" w:rsidP="00C8287D">
            <w:pPr>
              <w:ind w:left="279"/>
            </w:pPr>
            <w:r w:rsidRPr="00C8287D">
              <w:t>Автоматическое регулирование</w:t>
            </w:r>
            <w:r w:rsidRPr="00C8287D" w:rsidDel="004043FE">
              <w:t xml:space="preserve"> скорости вращения вентиляторов </w:t>
            </w:r>
            <w:r w:rsidRPr="00C8287D">
              <w:t>центрального процессора и корпуса системного блока</w:t>
            </w:r>
            <w:r w:rsidRPr="00C8287D" w:rsidDel="004043FE">
              <w:t xml:space="preserve"> </w:t>
            </w:r>
            <w:r w:rsidRPr="00C8287D">
              <w:t>в зависимости от температуры</w:t>
            </w:r>
          </w:p>
        </w:tc>
        <w:tc>
          <w:tcPr>
            <w:tcW w:w="802" w:type="pct"/>
            <w:vAlign w:val="center"/>
          </w:tcPr>
          <w:p w:rsidR="00C8287D" w:rsidRPr="00C8287D" w:rsidDel="00AE0C4F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Align w:val="center"/>
          </w:tcPr>
          <w:p w:rsidR="00C8287D" w:rsidRPr="00C8287D" w:rsidDel="009B7373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rPr>
          <w:trHeight w:val="598"/>
        </w:trPr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Уровень шума вентиляторов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более 27 Дб</w:t>
            </w:r>
          </w:p>
        </w:tc>
        <w:tc>
          <w:tcPr>
            <w:tcW w:w="1355" w:type="pct"/>
            <w:gridSpan w:val="2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максимальное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Процессор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ядер процессора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4 ядра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Тактовая частота процессора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3,2 ГГц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Кэш процессора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6 Мбайт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потоков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4 потоков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Материнская плата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Технология вывода сигнала на несколько мониторов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Предупреждение о неисправности вентиляторов центрального процессора</w:t>
            </w:r>
            <w:r w:rsidRPr="00C8287D" w:rsidDel="004043FE">
              <w:t xml:space="preserve"> и </w:t>
            </w:r>
            <w:r w:rsidRPr="00C8287D">
              <w:t>корпуса системного блока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Предупреждение о перегреве центрального процессора и материнской платы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Тип видеоадаптера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Интегрированный</w:t>
            </w:r>
          </w:p>
          <w:p w:rsidR="00C8287D" w:rsidRPr="00C8287D" w:rsidRDefault="00C8287D" w:rsidP="00C8287D">
            <w:pPr>
              <w:ind w:left="279"/>
            </w:pP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слотов PCI Express x16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 шт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слотов PCI Express x1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слотов PCI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SATA III портов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4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Максимальная скорость передачи данных сетевого контроллера</w:t>
            </w:r>
          </w:p>
        </w:tc>
        <w:tc>
          <w:tcPr>
            <w:tcW w:w="802" w:type="pct"/>
            <w:vAlign w:val="center"/>
          </w:tcPr>
          <w:p w:rsidR="00C8287D" w:rsidRPr="00C8287D" w:rsidDel="00FB150F" w:rsidRDefault="00C8287D" w:rsidP="00C8287D">
            <w:pPr>
              <w:ind w:left="279"/>
            </w:pPr>
            <w:r w:rsidRPr="00C8287D">
              <w:t>Не менее 1000 Мбит/с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п</w:t>
            </w:r>
            <w:r w:rsidRPr="00C8287D" w:rsidDel="004043FE">
              <w:t>орт</w:t>
            </w:r>
            <w:r w:rsidRPr="00C8287D">
              <w:t>ов</w:t>
            </w:r>
            <w:r w:rsidRPr="00C8287D" w:rsidDel="004043FE">
              <w:t xml:space="preserve"> RJ45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 xml:space="preserve">Не менее </w:t>
            </w:r>
            <w:r w:rsidRPr="00C8287D" w:rsidDel="004043FE">
              <w:t>1</w:t>
            </w:r>
            <w:r w:rsidRPr="00C8287D">
              <w:t xml:space="preserve">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портов USB 2.0 на задней панели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4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портов USB 3.0 на задней панели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2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аудио-портов на задней панели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3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портов PS/2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2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портов DVI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 шт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Оперативная память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Тактовая частота оперативной памяти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2133 МГц</w:t>
            </w:r>
          </w:p>
        </w:tc>
        <w:tc>
          <w:tcPr>
            <w:tcW w:w="1355" w:type="pct"/>
            <w:gridSpan w:val="2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модулей оперативной памяти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2 шт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Объем одного модуля оперативной памяти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4  Гбайт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rPr>
          <w:trHeight w:val="516"/>
        </w:trPr>
        <w:tc>
          <w:tcPr>
            <w:tcW w:w="912" w:type="pct"/>
            <w:vMerge w:val="restart"/>
            <w:tcBorders>
              <w:bottom w:val="single" w:sz="4" w:space="0" w:color="auto"/>
            </w:tcBorders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Жесткий диск</w:t>
            </w:r>
          </w:p>
        </w:tc>
        <w:tc>
          <w:tcPr>
            <w:tcW w:w="1292" w:type="pct"/>
            <w:tcBorders>
              <w:bottom w:val="single" w:sz="4" w:space="0" w:color="auto"/>
            </w:tcBorders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Тип жесткого диска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HDD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tcBorders>
              <w:bottom w:val="single" w:sz="4" w:space="0" w:color="auto"/>
            </w:tcBorders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Интерфейс жесткого диска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SATA III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Объем жесткого диска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500  Гбайт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Скорость вращения шпинделя жесткого диска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7200 об/мин</w:t>
            </w:r>
          </w:p>
        </w:tc>
        <w:tc>
          <w:tcPr>
            <w:tcW w:w="1355" w:type="pct"/>
            <w:gridSpan w:val="2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Оптический привод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Оптический привод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DVD ± RW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Тип оптического привода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Внутренний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Метод загрузки диска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Выдвижной лоток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rPr>
          <w:trHeight w:val="1083"/>
        </w:trPr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Клавиатура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Цифровой блок клавиатуры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Интерфейс подключения клавиатуры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USB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Цвет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Черный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клавиш клавиатуры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104 шт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Длина шнура клавиатуры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1,7 м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Манипулятор «мышь»</w:t>
            </w: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Колесо прокрутки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Наличие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показатель, значение которого не может изменяться</w:t>
            </w:r>
          </w:p>
        </w:tc>
        <w:tc>
          <w:tcPr>
            <w:tcW w:w="639" w:type="pct"/>
            <w:vMerge w:val="restart"/>
            <w:vAlign w:val="center"/>
          </w:tcPr>
          <w:p w:rsidR="00C8287D" w:rsidRPr="00C8287D" w:rsidRDefault="00DA6683" w:rsidP="00C8287D">
            <w:pPr>
              <w:ind w:left="279"/>
            </w:pPr>
            <w:r>
              <w:t>10</w:t>
            </w: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Тип сенсора манипулятора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Оптический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Интерфейс подключения манипулятора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USB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Цвет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Черный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Количество клавиш манипулятора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3 шт</w:t>
            </w:r>
          </w:p>
        </w:tc>
        <w:tc>
          <w:tcPr>
            <w:tcW w:w="1355" w:type="pct"/>
            <w:gridSpan w:val="2"/>
            <w:vMerge w:val="restar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минимальное значение</w:t>
            </w: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Длина шнура манипулятора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1,7 м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  <w:tr w:rsidR="00C8287D" w:rsidRPr="00C8287D" w:rsidTr="00C641D9">
        <w:tc>
          <w:tcPr>
            <w:tcW w:w="912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129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Разрешение оптического сенсора манипулятора</w:t>
            </w:r>
          </w:p>
        </w:tc>
        <w:tc>
          <w:tcPr>
            <w:tcW w:w="802" w:type="pct"/>
            <w:vAlign w:val="center"/>
          </w:tcPr>
          <w:p w:rsidR="00C8287D" w:rsidRPr="00C8287D" w:rsidRDefault="00C8287D" w:rsidP="00C8287D">
            <w:pPr>
              <w:ind w:left="279"/>
            </w:pPr>
            <w:r w:rsidRPr="00C8287D">
              <w:t>Не менее 1000 dpi</w:t>
            </w:r>
          </w:p>
        </w:tc>
        <w:tc>
          <w:tcPr>
            <w:tcW w:w="1355" w:type="pct"/>
            <w:gridSpan w:val="2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  <w:tc>
          <w:tcPr>
            <w:tcW w:w="639" w:type="pct"/>
            <w:vMerge/>
            <w:vAlign w:val="center"/>
          </w:tcPr>
          <w:p w:rsidR="00C8287D" w:rsidRPr="00C8287D" w:rsidRDefault="00C8287D" w:rsidP="00C8287D">
            <w:pPr>
              <w:ind w:left="279"/>
            </w:pPr>
          </w:p>
        </w:tc>
      </w:tr>
    </w:tbl>
    <w:p w:rsidR="00803CD6" w:rsidRPr="00C8287D" w:rsidRDefault="00595B0B" w:rsidP="00C8287D">
      <w:pPr>
        <w:ind w:left="279"/>
      </w:pPr>
      <w:r w:rsidRPr="00C8287D">
        <w:t xml:space="preserve"> </w:t>
      </w:r>
    </w:p>
    <w:p w:rsidR="00803CD6" w:rsidRDefault="00595B0B">
      <w:pPr>
        <w:numPr>
          <w:ilvl w:val="0"/>
          <w:numId w:val="1"/>
        </w:numPr>
        <w:ind w:hanging="283"/>
      </w:pPr>
      <w:r>
        <w:t xml:space="preserve">Общие требования к закупаемому оборудованию. </w:t>
      </w:r>
    </w:p>
    <w:p w:rsidR="00803CD6" w:rsidRDefault="00595B0B">
      <w:pPr>
        <w:ind w:left="-5"/>
      </w:pPr>
      <w:r>
        <w:t xml:space="preserve">2.2. Требования к оборудованию.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Оборудование должно сопровождаться соответствующими сертификатами соответствия, безопасности и качества производства, выданными в соответствии с законодательством Российской Федерации.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Оборудование должно быть новым. Не допускается поставка выставочных образцов, а также оборудования, собранного из восстановленных узлов и агрегатов. </w:t>
      </w:r>
    </w:p>
    <w:p w:rsidR="00803CD6" w:rsidRDefault="00595B0B">
      <w:pPr>
        <w:ind w:left="-5"/>
      </w:pPr>
      <w:r>
        <w:t xml:space="preserve">Оборудование должно быть поставлено комплектно и обеспечивать конструктивную и функциональную совместимость.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Оборудование должно поставляться в состоянии готовности к монтажу у грузополучателей. Поставщик должен обеспечить работоспособность всего предлагаемого оборудования как в составе комплекта, так в качестве самостоятельных единиц. При этом в комплект поставки должно быть включены все необходимые компоненты (кабели, крепеж) для обеспечения данного требования.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Оборудование должно соответствовать или превосходить требования к товару, изложенные в п. 1 настоящего ТЗ.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Качество оборудования должно обеспечиваться системой управления качеством при производстве, монтаже и обслуживании персональных компьютеров, сертифицированной на соответствие требованиям ISO 9001 и ГОСТ РФ.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Оборудование должно соответствовать действующим стандартам и нормам по пожарной, санитарной и электрической безопасности, а также электромагнитной совместимости, в соответствии с номенклатурой продукции, в отношении которой законодательными актами Российской Федерации предусмотрена обязательная сертификация с документальным подтверждением.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Перечень оборудования должен содержать полные наименования (торговые марки, модели и коды производителя) материнских плат, процессоров, охладителей внутрикорпусных и процессоров, оперативной памяти, накопителей на жестких магнитных дисках, приводов оптических дисков, видеоадаптеров, корпусов, клавиатур, манипуляторов типа «мышь», а также любых других дополнительных контроллеров и устройств (за исключением встроенных компонентов).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Все входные и выходные разъемы, а также уровни сигналов на входе и выходе оборудования, должны соответствовать стандартам Российской Федерации.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В комплект оборудования должны входить все кабели, необходимые для его подключения и эксплуатации.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Для минимизации расходов Заказчика, связанных с обслуживанием, обучением персонала, созданием необходимого ЗИП, стыковки с существующим оборудованием и контрактным постгарантийным обслуживанием для некоторых видов оборудования </w:t>
      </w:r>
      <w:r>
        <w:lastRenderedPageBreak/>
        <w:t xml:space="preserve">могут быть указаны более предпочтительные производители соответствующего оборудования. Предложение Поставщиком продукции указанных производителей может быть рассмотрено Заказчиком как преимущество при прочих равных условиях.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Предложение Поставщиком продукции с более высокими техническими параметрами может быть рассмотрено Заказчиком как преимущество при прочих равных условиях.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Предложение Поставщиком продукции с лучшими эргономическими характеристиками (вес, размеры, углы обзора мониторов, глубина цвета, яркость и контрастность мониторов, уровень шума, цветовые дизайнерские решения, удобство расположения кнопок управления и простота работы с ними, наличие индикаторов состояния, наличие более информативных дисплеев на периферийном оборудовании, и т.п.)  может быть рассмотрено Заказчиком как преимущество при прочих равных условиях.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Предложение Поставщиком продукции с лучшими экологическими и энергосберегающими характеристиками (меньшая потребляемая мощность, больше непрерывное время работы от аккумуляторов для ноутбуков и источников бесперебойного питания, соответствие современным стандартам энергосбережения, безопасность утилизации и т.п.)  может быть рассмотрено Заказчиком как преимущество при прочих равных условиях.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Предложение Поставщиком продукции с лучшими коммуникационными характеристиками (кард - ридеры для чтения карт памяти, беспроводные сетевые интерфейсы, большее количество интерфейсных портов и т.п.)  может быть рассмотрено Заказчиком как преимущество при прочих равных условиях.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Оборудование должно поставляться в упаковке, соответствующей стандартам, ТУ, обязательным правилам и требованиям для тары и упаковки. Упаковка должна обеспечивать полную сохранность оборудования на весь срок его транспортировки с учетом перегрузок и длительного хранения. </w:t>
      </w:r>
    </w:p>
    <w:p w:rsidR="00803CD6" w:rsidRDefault="00595B0B">
      <w:pPr>
        <w:numPr>
          <w:ilvl w:val="2"/>
          <w:numId w:val="3"/>
        </w:numPr>
        <w:ind w:hanging="708"/>
      </w:pPr>
      <w:r>
        <w:t xml:space="preserve">Доставка, отгрузка оборудования с учетом необходимого оборудования и материалов должна осуществляться силами и за счет средств Поставщика.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tabs>
          <w:tab w:val="center" w:pos="2525"/>
        </w:tabs>
        <w:ind w:left="-15"/>
      </w:pPr>
      <w:r>
        <w:t xml:space="preserve">2.2. </w:t>
      </w:r>
      <w:r>
        <w:tab/>
        <w:t xml:space="preserve">Требования к программному обеспечению. </w:t>
      </w:r>
    </w:p>
    <w:p w:rsidR="00803CD6" w:rsidRDefault="00595B0B">
      <w:pPr>
        <w:numPr>
          <w:ilvl w:val="2"/>
          <w:numId w:val="1"/>
        </w:numPr>
      </w:pPr>
      <w:r>
        <w:t xml:space="preserve">Программное обеспечение (ПО) должно быть локализованным для Российской Федерации и поставляться предустановленным на персональных компьютерах. Должны поставляться наиболее современные версии и модификации ПО. Допускается поставка вместе с комплектом ПО дополнений и исправлений, размещенных на отдельных носителях. </w:t>
      </w:r>
    </w:p>
    <w:p w:rsidR="00803CD6" w:rsidRDefault="00595B0B">
      <w:pPr>
        <w:numPr>
          <w:ilvl w:val="2"/>
          <w:numId w:val="1"/>
        </w:numPr>
      </w:pPr>
      <w:r>
        <w:t xml:space="preserve">Перечень поставляемого ПО должен содержать полную информацию о точных наименованиях, версиях, производителях, кодах продуктов и наличие русификации всех программных продуктов, предлагаемых к поставке, как в составе оборудования, так и поставляемых отдельно. </w:t>
      </w:r>
    </w:p>
    <w:p w:rsidR="00803CD6" w:rsidRDefault="00595B0B">
      <w:pPr>
        <w:numPr>
          <w:ilvl w:val="2"/>
          <w:numId w:val="1"/>
        </w:numPr>
      </w:pPr>
      <w:r>
        <w:t xml:space="preserve">Все предустановленное ПО должно быть полнофункциональным и не лимитированным по сроку использования (не демонстрационным), при этом использование указанного программного обеспечения не должно нарушать лицензионную политику разработчиков соответствующего программного продукта.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numPr>
          <w:ilvl w:val="0"/>
          <w:numId w:val="1"/>
        </w:numPr>
        <w:ind w:hanging="283"/>
      </w:pPr>
      <w:r>
        <w:t xml:space="preserve">Гарантийные обязательства и техническая поддержка. </w:t>
      </w:r>
    </w:p>
    <w:p w:rsidR="00803CD6" w:rsidRDefault="00595B0B">
      <w:pPr>
        <w:numPr>
          <w:ilvl w:val="2"/>
          <w:numId w:val="2"/>
        </w:numPr>
        <w:ind w:hanging="566"/>
      </w:pPr>
      <w:r>
        <w:t xml:space="preserve">Гарантийный срок на оборудование должен составлять не менее 12 месяцев со дня поставки. Если для какого-либо оборудования стандартные гарантийные сроки, установленные производителем данного оборудования, превышают запрашиваемый гарантийный срок, то гарантийный срок на данное оборудование устанавливается </w:t>
      </w:r>
      <w:r>
        <w:lastRenderedPageBreak/>
        <w:t xml:space="preserve">продолжительностью не менее гарантийного срока, установленного производителем данного оборудования. </w:t>
      </w:r>
    </w:p>
    <w:p w:rsidR="00803CD6" w:rsidRDefault="00595B0B">
      <w:pPr>
        <w:numPr>
          <w:ilvl w:val="2"/>
          <w:numId w:val="2"/>
        </w:numPr>
        <w:ind w:hanging="566"/>
      </w:pPr>
      <w:r>
        <w:t xml:space="preserve">Гарантийное обслуживание оборудования должно производиться в сервисном центре, находящемся в пределах г. Тольятти. </w:t>
      </w:r>
    </w:p>
    <w:p w:rsidR="00803CD6" w:rsidRDefault="00595B0B">
      <w:pPr>
        <w:numPr>
          <w:ilvl w:val="2"/>
          <w:numId w:val="2"/>
        </w:numPr>
        <w:ind w:hanging="566"/>
      </w:pPr>
      <w:r>
        <w:t xml:space="preserve">Все оборудование должно сопровождаться гарантийными талонами, оформленными надлежащим образом. </w:t>
      </w:r>
    </w:p>
    <w:p w:rsidR="00803CD6" w:rsidRDefault="00595B0B">
      <w:pPr>
        <w:numPr>
          <w:ilvl w:val="2"/>
          <w:numId w:val="2"/>
        </w:numPr>
        <w:ind w:hanging="566"/>
      </w:pPr>
      <w:r>
        <w:t xml:space="preserve">Поставщик должен обеспечить консультирование по вопросам поддержки поставленного оборудования в работоспособном состоянии в течение всего гарантийного срока.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numPr>
          <w:ilvl w:val="0"/>
          <w:numId w:val="1"/>
        </w:numPr>
        <w:ind w:hanging="283"/>
      </w:pPr>
      <w:r>
        <w:t xml:space="preserve">Место доставки оборудования. </w:t>
      </w:r>
    </w:p>
    <w:p w:rsidR="00803CD6" w:rsidRDefault="00595B0B">
      <w:pPr>
        <w:numPr>
          <w:ilvl w:val="1"/>
          <w:numId w:val="1"/>
        </w:numPr>
        <w:ind w:hanging="427"/>
      </w:pPr>
      <w:r>
        <w:t xml:space="preserve">Оборудование должно  быть поставлено по адресу: 445037, РФ, Самарская область, г. Тольятти, Ленинский проспект, 20, МАОУДПОС ЦИТ (автозаводский офис).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numPr>
          <w:ilvl w:val="0"/>
          <w:numId w:val="1"/>
        </w:numPr>
        <w:ind w:hanging="283"/>
      </w:pPr>
      <w:r>
        <w:t xml:space="preserve">Срок поставки оборудования. </w:t>
      </w:r>
    </w:p>
    <w:p w:rsidR="00803CD6" w:rsidRDefault="00595B0B">
      <w:pPr>
        <w:numPr>
          <w:ilvl w:val="1"/>
          <w:numId w:val="1"/>
        </w:numPr>
        <w:ind w:hanging="427"/>
      </w:pPr>
      <w:r>
        <w:t xml:space="preserve">Оборудование должно быть поставлено Заказчику в течение 15 календарных дней с момента заключения договора на поставку оборудования. </w:t>
      </w:r>
    </w:p>
    <w:p w:rsidR="00803CD6" w:rsidRDefault="00595B0B">
      <w:pPr>
        <w:spacing w:after="0" w:line="259" w:lineRule="auto"/>
      </w:pPr>
      <w:r>
        <w:t xml:space="preserve"> </w:t>
      </w:r>
    </w:p>
    <w:p w:rsidR="00803CD6" w:rsidRDefault="00595B0B">
      <w:pPr>
        <w:spacing w:after="0" w:line="259" w:lineRule="auto"/>
      </w:pPr>
      <w:r>
        <w:t xml:space="preserve"> </w:t>
      </w:r>
    </w:p>
    <w:sectPr w:rsidR="00803CD6" w:rsidSect="00F41C21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368" w:rsidRDefault="00AA4368" w:rsidP="00C8287D">
      <w:pPr>
        <w:spacing w:after="0"/>
      </w:pPr>
      <w:r>
        <w:separator/>
      </w:r>
    </w:p>
  </w:endnote>
  <w:endnote w:type="continuationSeparator" w:id="0">
    <w:p w:rsidR="00AA4368" w:rsidRDefault="00AA4368" w:rsidP="00C82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368" w:rsidRDefault="00AA4368" w:rsidP="00C8287D">
      <w:pPr>
        <w:spacing w:after="0"/>
      </w:pPr>
      <w:r>
        <w:separator/>
      </w:r>
    </w:p>
  </w:footnote>
  <w:footnote w:type="continuationSeparator" w:id="0">
    <w:p w:rsidR="00AA4368" w:rsidRDefault="00AA4368" w:rsidP="00C82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04F8"/>
    <w:multiLevelType w:val="hybridMultilevel"/>
    <w:tmpl w:val="A01010C8"/>
    <w:lvl w:ilvl="0" w:tplc="1964663C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0D79E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431D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A8B9C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EEF2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26E9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DAEDE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C995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05BC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E47A6"/>
    <w:multiLevelType w:val="multilevel"/>
    <w:tmpl w:val="75ACD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9F5FAD"/>
    <w:multiLevelType w:val="multilevel"/>
    <w:tmpl w:val="5570158E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263F97"/>
    <w:multiLevelType w:val="multilevel"/>
    <w:tmpl w:val="7B829EEC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6E110A"/>
    <w:multiLevelType w:val="multilevel"/>
    <w:tmpl w:val="BDF88E4E"/>
    <w:lvl w:ilvl="0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6"/>
    <w:rsid w:val="00273E13"/>
    <w:rsid w:val="003B621B"/>
    <w:rsid w:val="00406528"/>
    <w:rsid w:val="00595B0B"/>
    <w:rsid w:val="006C0A2B"/>
    <w:rsid w:val="00725B70"/>
    <w:rsid w:val="00803CD6"/>
    <w:rsid w:val="00AA4368"/>
    <w:rsid w:val="00C47804"/>
    <w:rsid w:val="00C641D9"/>
    <w:rsid w:val="00C8287D"/>
    <w:rsid w:val="00CD3A72"/>
    <w:rsid w:val="00CF6E59"/>
    <w:rsid w:val="00DA6683"/>
    <w:rsid w:val="00E5563D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028C"/>
  <w15:docId w15:val="{88A4392B-94CA-4D0F-80D8-1ECEAE4B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1D9"/>
    <w:pPr>
      <w:spacing w:after="100" w:afterAutospacing="1" w:line="240" w:lineRule="auto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unhideWhenUsed/>
    <w:rsid w:val="00C8287D"/>
    <w:pPr>
      <w:spacing w:after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C8287D"/>
    <w:rPr>
      <w:sz w:val="20"/>
      <w:szCs w:val="20"/>
    </w:rPr>
  </w:style>
  <w:style w:type="character" w:styleId="a5">
    <w:name w:val="footnote reference"/>
    <w:basedOn w:val="a0"/>
    <w:uiPriority w:val="99"/>
    <w:unhideWhenUsed/>
    <w:rsid w:val="00C8287D"/>
    <w:rPr>
      <w:vertAlign w:val="superscript"/>
    </w:rPr>
  </w:style>
  <w:style w:type="paragraph" w:styleId="a6">
    <w:name w:val="List Paragraph"/>
    <w:basedOn w:val="a"/>
    <w:uiPriority w:val="34"/>
    <w:qFormat/>
    <w:rsid w:val="00C828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cp:lastModifiedBy>ПеЧеНьКа</cp:lastModifiedBy>
  <cp:revision>3</cp:revision>
  <dcterms:created xsi:type="dcterms:W3CDTF">2021-09-22T19:34:00Z</dcterms:created>
  <dcterms:modified xsi:type="dcterms:W3CDTF">2021-09-22T19:35:00Z</dcterms:modified>
</cp:coreProperties>
</file>