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color w:val="62A73B"/>
          <w:sz w:val="48"/>
          <w:szCs w:val="48"/>
        </w:rPr>
        <w:t>Пара №1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color w:val="62A73B"/>
          <w:sz w:val="36"/>
          <w:szCs w:val="36"/>
        </w:rPr>
        <w:t>Типы цивилизаций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b/>
          <w:color w:val="62A73B"/>
        </w:rPr>
        <w:t xml:space="preserve">huy </w:t>
      </w:r>
      <w:r>
        <w:rPr>
          <w:b/>
          <w:color w:val="62A73B"/>
        </w:rPr>
        <w:t>“Трилитон Баальбека”</w:t>
      </w:r>
      <w:r>
        <w:rPr>
          <w:color w:val="62A73B"/>
        </w:rPr>
        <w:t xml:space="preserve"> (Ливан) - три </w:t>
      </w:r>
      <w:r>
        <w:rPr>
          <w:rFonts w:ascii="Nimbus Roman" w:hAnsi="Nimbus Roman"/>
          <w:color w:val="62A73B"/>
        </w:rPr>
        <w:t>блока</w:t>
      </w:r>
      <w:r>
        <w:rPr>
          <w:color w:val="62A73B"/>
        </w:rPr>
        <w:t xml:space="preserve"> известняка по 800 тонн в основании Храма Юпитеру (возведён во II веке н.э.).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b/>
          <w:color w:val="62A73B"/>
        </w:rPr>
        <w:t>“</w:t>
      </w:r>
      <w:r>
        <w:rPr>
          <w:b/>
          <w:color w:val="62A73B"/>
        </w:rPr>
        <w:t>Гром-камень”</w:t>
      </w:r>
      <w:r>
        <w:rPr>
          <w:color w:val="62A73B"/>
        </w:rPr>
        <w:t xml:space="preserve"> - 1768 год, начата перевозка Гром-камня за 12 километров, исходный вес - 2000 тонн.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 xml:space="preserve">Цивилизация: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>
          <w:color w:val="62A73B"/>
        </w:rPr>
        <w:t>масштаб;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>
          <w:color w:val="62A73B"/>
        </w:rPr>
        <w:t>долговечность;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left"/>
        <w:rPr>
          <w:u w:val="none"/>
        </w:rPr>
      </w:pPr>
      <w:r>
        <w:rPr>
          <w:color w:val="62A73B"/>
        </w:rPr>
        <w:t>оригинальность.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 xml:space="preserve">Какими бывают цивилизации? </w:t>
      </w:r>
    </w:p>
    <w:p>
      <w:pPr>
        <w:pStyle w:val="Normal"/>
        <w:spacing w:before="0" w:after="0"/>
        <w:ind w:hanging="0"/>
        <w:jc w:val="left"/>
        <w:rPr>
          <w:color w:val="62A73B"/>
        </w:rPr>
      </w:pPr>
      <w:r>
        <w:rPr>
          <w:b/>
          <w:color w:val="62A73B"/>
        </w:rPr>
        <w:tab/>
        <w:t xml:space="preserve">Территориальный: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восточные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 xml:space="preserve">западные; 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 xml:space="preserve"> </w:t>
      </w:r>
      <w:r>
        <w:rPr>
          <w:b/>
          <w:color w:val="62A73B"/>
        </w:rPr>
        <w:tab/>
        <w:t xml:space="preserve">Линейно-стадиальный (темпоральный):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античность;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средневековье;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возрождение;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просвещение;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новое время;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новейшее время;</w:t>
      </w:r>
    </w:p>
    <w:p>
      <w:pPr>
        <w:pStyle w:val="Normal"/>
        <w:spacing w:before="0" w:after="0"/>
        <w:ind w:left="720" w:hanging="0"/>
        <w:jc w:val="left"/>
        <w:rPr>
          <w:b/>
          <w:b/>
        </w:rPr>
      </w:pPr>
      <w:r>
        <w:rPr>
          <w:b/>
          <w:color w:val="62A73B"/>
        </w:rPr>
        <w:t>Конфессиональный: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западно-христианский;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православно-христианская;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исламская;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индуистская;</w:t>
      </w:r>
    </w:p>
    <w:p>
      <w:pPr>
        <w:pStyle w:val="Normal"/>
        <w:spacing w:before="0" w:after="0"/>
        <w:ind w:firstLine="720"/>
        <w:jc w:val="left"/>
        <w:rPr>
          <w:b/>
          <w:b/>
        </w:rPr>
      </w:pPr>
      <w:r>
        <w:rPr>
          <w:b/>
          <w:color w:val="62A73B"/>
        </w:rPr>
        <w:t>Географический: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речные (Египет);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нагорные (Мексика);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архипелагические (Минойская);</w:t>
      </w:r>
    </w:p>
    <w:p>
      <w:pPr>
        <w:pStyle w:val="Normal"/>
        <w:numPr>
          <w:ilvl w:val="0"/>
          <w:numId w:val="7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континентальные (Китай) 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ab/>
        <w:t>Техногенный: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 xml:space="preserve">природное сообщество; 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доиндустриальные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индустриальные цивилизации;</w:t>
      </w:r>
    </w:p>
    <w:p>
      <w:pPr>
        <w:pStyle w:val="Normal"/>
        <w:numPr>
          <w:ilvl w:val="0"/>
          <w:numId w:val="10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постиндустриальные цивилизации;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ab/>
        <w:t>Энергетический (Фримен Дайсон):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использует энергию Земли;</w:t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использует энергию своей звезды</w:t>
      </w:r>
      <w:commentRangeStart w:id="0"/>
      <w:r>
        <w:rPr>
          <w:color w:val="62A73B"/>
        </w:rPr>
        <w:t>;</w:t>
      </w:r>
      <w:commentRangeEnd w:id="0"/>
      <w:r>
        <w:commentReference w:id="0"/>
      </w:r>
      <w:r>
        <w:rPr>
          <w:color w:val="62A73B"/>
        </w:rPr>
      </w:r>
    </w:p>
    <w:p>
      <w:pPr>
        <w:pStyle w:val="Normal"/>
        <w:numPr>
          <w:ilvl w:val="0"/>
          <w:numId w:val="6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использует энергию галактики;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ab/>
        <w:t>Техноидейная: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технократическая;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технологическая;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биологическая;</w:t>
      </w:r>
    </w:p>
    <w:p>
      <w:pPr>
        <w:pStyle w:val="Normal"/>
        <w:spacing w:before="0" w:after="0"/>
        <w:jc w:val="left"/>
        <w:rPr>
          <w:b/>
          <w:b/>
        </w:rPr>
      </w:pPr>
      <w:r>
        <w:rPr>
          <w:b/>
          <w:color w:val="62A73B"/>
        </w:rPr>
        <w:tab/>
        <w:t>Основные два типа: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адаптивные;</w:t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jc w:val="left"/>
        <w:rPr>
          <w:u w:val="none"/>
        </w:rPr>
      </w:pPr>
      <w:r>
        <w:rPr>
          <w:color w:val="62A73B"/>
        </w:rPr>
        <w:t>деятельные.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color w:val="62A73B"/>
        </w:rPr>
        <w:t>Адаптивные цивилизации консервативны и не стремятся к прогрессу как таковому. Деятельные стремятся к прогрессу любой ценой.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jc w:val="center"/>
        <w:rPr>
          <w:color w:val="62A73B"/>
        </w:rPr>
      </w:pPr>
      <w:r>
        <w:rPr>
          <w:color w:val="62A73B"/>
        </w:rPr>
      </w:r>
      <w:r>
        <w:br w:type="page"/>
      </w:r>
    </w:p>
    <w:p>
      <w:pPr>
        <w:pStyle w:val="Normal"/>
        <w:spacing w:before="0" w:after="0"/>
        <w:jc w:val="center"/>
        <w:rPr>
          <w:color w:val="62A73B"/>
        </w:rPr>
      </w:pPr>
      <w:r>
        <w:rPr>
          <w:color w:val="62A73B"/>
        </w:rPr>
        <w:t xml:space="preserve">Пара №2. </w:t>
      </w:r>
    </w:p>
    <w:p>
      <w:pPr>
        <w:pStyle w:val="Normal"/>
        <w:spacing w:before="0" w:after="0"/>
        <w:jc w:val="center"/>
        <w:rPr>
          <w:color w:val="62A73B"/>
        </w:rPr>
      </w:pPr>
      <w:r>
        <w:rPr>
          <w:color w:val="62A73B"/>
        </w:rPr>
        <w:t>pass</w:t>
      </w:r>
    </w:p>
    <w:p>
      <w:pPr>
        <w:pStyle w:val="Normal"/>
        <w:spacing w:before="0" w:after="0"/>
        <w:jc w:val="left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jc w:val="center"/>
        <w:rPr>
          <w:color w:val="62A73B"/>
          <w:sz w:val="48"/>
          <w:szCs w:val="48"/>
        </w:rPr>
      </w:pPr>
      <w:r>
        <w:rPr>
          <w:color w:val="62A73B"/>
          <w:sz w:val="48"/>
          <w:szCs w:val="48"/>
        </w:rPr>
      </w:r>
      <w:r>
        <w:br w:type="page"/>
      </w:r>
    </w:p>
    <w:p>
      <w:pPr>
        <w:pStyle w:val="Normal"/>
        <w:spacing w:before="0" w:after="0"/>
        <w:jc w:val="center"/>
        <w:rPr>
          <w:sz w:val="48"/>
          <w:szCs w:val="48"/>
        </w:rPr>
      </w:pPr>
      <w:r>
        <w:rPr>
          <w:color w:val="62A73B"/>
          <w:sz w:val="48"/>
          <w:szCs w:val="48"/>
        </w:rPr>
        <w:t>Пара №3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color w:val="62A73B"/>
          <w:sz w:val="36"/>
          <w:szCs w:val="36"/>
        </w:rPr>
        <w:t>Развитие науки и техники в странах Азии, Африки и Европы в Средние века</w:t>
      </w:r>
    </w:p>
    <w:p>
      <w:pPr>
        <w:pStyle w:val="Normal"/>
        <w:spacing w:before="0" w:after="0"/>
        <w:rPr>
          <w:color w:val="62A73B"/>
        </w:rPr>
      </w:pPr>
      <w:r>
        <w:rPr>
          <w:rFonts w:ascii="Droid Sans Thai" w:hAnsi="Droid Sans Thai"/>
          <w:color w:val="62A73B"/>
        </w:rPr>
        <w:t>Средние</w:t>
      </w:r>
      <w:r>
        <w:rPr>
          <w:color w:val="62A73B"/>
        </w:rPr>
        <w:t xml:space="preserve"> века - временной промежуток в истории, примерно между V и XV веками. 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  <w:t>В Европе безраздельно господствует в умах и душах католическая церковь церковь.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  <w:t>Средневековая Европа выросла на руинах античного мира, в частности Рима: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литература;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право;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архитектура: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военное искусство.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  <w:t xml:space="preserve">Наследие было серьёзно повреждено во время разграбления Рима Аларихом в 410 году и вандалами в 455 году. 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  <w:t>Появилась проблема утерянных технологий: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нет специальных училищ;</w:t>
      </w:r>
    </w:p>
    <w:p>
      <w:pPr>
        <w:pStyle w:val="Normal"/>
        <w:numPr>
          <w:ilvl w:val="0"/>
          <w:numId w:val="11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нет учебников, пособий.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rPr>
          <w:color w:val="62A73B"/>
        </w:rPr>
      </w:pPr>
      <w:r>
        <w:rPr>
          <w:b/>
          <w:color w:val="62A73B"/>
        </w:rPr>
        <w:t>“</w:t>
      </w:r>
      <w:r>
        <w:rPr>
          <w:b/>
          <w:color w:val="62A73B"/>
        </w:rPr>
        <w:t>Каролингское возрождение”</w:t>
      </w:r>
      <w:r>
        <w:rPr>
          <w:color w:val="62A73B"/>
        </w:rPr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ind w:left="0" w:hanging="0"/>
        <w:rPr>
          <w:color w:val="62A73B"/>
        </w:rPr>
      </w:pPr>
      <w:r>
        <w:rPr>
          <w:color w:val="62A73B"/>
        </w:rPr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>
      <w:pPr>
        <w:pStyle w:val="Normal"/>
        <w:spacing w:before="0" w:after="0"/>
        <w:ind w:left="0" w:hanging="0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ind w:left="0" w:hanging="0"/>
        <w:rPr>
          <w:color w:val="62A73B"/>
        </w:rPr>
      </w:pPr>
      <w:r>
        <w:rPr>
          <w:color w:val="62A73B"/>
        </w:rPr>
        <w:t>Война представляла собой: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осаду (чаще, порой длилась годами);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u w:val="none"/>
        </w:rPr>
      </w:pPr>
      <w:r>
        <w:rPr>
          <w:color w:val="62A73B"/>
        </w:rPr>
        <w:t>генеральное сражение (много реже).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>
      <w:pPr>
        <w:pStyle w:val="Normal"/>
        <w:spacing w:before="0" w:after="0"/>
        <w:rPr>
          <w:color w:val="62A73B"/>
        </w:rPr>
      </w:pPr>
      <w:r>
        <w:rPr>
          <w:color w:val="62A73B"/>
        </w:rPr>
      </w:r>
    </w:p>
    <w:p>
      <w:pPr>
        <w:pStyle w:val="Normal"/>
        <w:spacing w:before="0" w:after="0"/>
        <w:rPr>
          <w:color w:val="62A73B"/>
        </w:rPr>
      </w:pPr>
      <w:r>
        <w:rPr>
          <w:b/>
          <w:color w:val="62A73B"/>
        </w:rPr>
        <w:t>Замок Геделон</w:t>
      </w:r>
      <w:r>
        <w:rPr>
          <w:color w:val="62A73B"/>
        </w:rPr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</w:p>
    <w:sectPr>
      <w:headerReference w:type="default" r:id="rId2"/>
      <w:type w:val="nextPage"/>
      <w:pgSz w:w="11906" w:h="16838"/>
      <w:pgMar w:left="706" w:right="850" w:header="1138" w:top="2578" w:footer="0" w:bottom="1138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ксей Меньшутин" w:date="2018-03-22T09:33:2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Звезда Табби (KIC 8462852)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  <w:font w:name="Droid Sans Tha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OpenSymbol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u w:val="none"/>
    </w:rPr>
  </w:style>
  <w:style w:type="character" w:styleId="ListLabel140">
    <w:name w:val="ListLabel 140"/>
    <w:qFormat/>
    <w:rPr>
      <w:rFonts w:cs="OpenSymbol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OpenSymbol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OpenSymbol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LibreOffice/6.0.6.2$Linux_X86_64 LibreOffice_project/00m0$Build-2</Application>
  <Pages>4</Pages>
  <Words>413</Words>
  <Characters>2675</Characters>
  <CharactersWithSpaces>3002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2018-10-27T21:18:21Z</dcterms:modified>
  <cp:revision>11</cp:revision>
  <dc:subject/>
  <dc:title/>
</cp:coreProperties>
</file>