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9D457" w14:textId="77777777" w:rsidR="001368FF" w:rsidRDefault="00000000">
      <w:pPr>
        <w:spacing w:line="240" w:lineRule="auto"/>
        <w:rPr>
          <w:b/>
          <w:bCs/>
          <w:sz w:val="28"/>
          <w:szCs w:val="28"/>
        </w:rPr>
      </w:pPr>
      <w:r>
        <w:rPr>
          <w:b/>
          <w:bCs/>
          <w:sz w:val="28"/>
          <w:szCs w:val="28"/>
        </w:rPr>
        <w:t>Air Quality</w:t>
      </w:r>
    </w:p>
    <w:p w14:paraId="1813F1F0" w14:textId="77777777" w:rsidR="001368FF" w:rsidRDefault="00000000">
      <w:pPr>
        <w:spacing w:line="240" w:lineRule="auto"/>
      </w:pPr>
      <w:r>
        <w:rPr>
          <w:noProof/>
        </w:rPr>
        <w:drawing>
          <wp:anchor distT="0" distB="0" distL="114300" distR="114300" simplePos="0" relativeHeight="251657216" behindDoc="0" locked="0" layoutInCell="1" allowOverlap="1" wp14:anchorId="479A6D3D" wp14:editId="0A5D9E32">
            <wp:simplePos x="0" y="0"/>
            <wp:positionH relativeFrom="column">
              <wp:align>left</wp:align>
            </wp:positionH>
            <wp:positionV relativeFrom="paragraph">
              <wp:posOffset>0</wp:posOffset>
            </wp:positionV>
            <wp:extent cx="3546820" cy="2749555"/>
            <wp:effectExtent l="0" t="0" r="0" b="6345"/>
            <wp:wrapSquare wrapText="bothSides"/>
            <wp:docPr id="42467211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546820" cy="2749555"/>
                    </a:xfrm>
                    <a:prstGeom prst="rect">
                      <a:avLst/>
                    </a:prstGeom>
                    <a:noFill/>
                    <a:ln>
                      <a:noFill/>
                      <a:prstDash/>
                    </a:ln>
                  </pic:spPr>
                </pic:pic>
              </a:graphicData>
            </a:graphic>
          </wp:anchor>
        </w:drawing>
      </w:r>
      <w:r>
        <w:rPr>
          <w:rFonts w:eastAsia="Aptos" w:cs="Aptos"/>
          <w:sz w:val="22"/>
          <w:szCs w:val="22"/>
        </w:rPr>
        <w:t xml:space="preserve">There are only 14 PM2.5 sensors in all of New York City, which presents difficulties when comparing air quality between different neighborhoods. </w:t>
      </w:r>
    </w:p>
    <w:p w14:paraId="5035400E" w14:textId="77777777" w:rsidR="001368FF" w:rsidRDefault="00000000">
      <w:pPr>
        <w:spacing w:line="240" w:lineRule="auto"/>
        <w:rPr>
          <w:rFonts w:eastAsia="Aptos" w:cs="Aptos"/>
          <w:sz w:val="22"/>
          <w:szCs w:val="22"/>
        </w:rPr>
      </w:pPr>
      <w:r>
        <w:rPr>
          <w:rFonts w:eastAsia="Aptos" w:cs="Aptos"/>
          <w:sz w:val="22"/>
          <w:szCs w:val="22"/>
        </w:rPr>
        <w:t xml:space="preserve">Additionally, areas with the worst air quality do not also have the worst air quality-related health impacts. </w:t>
      </w:r>
    </w:p>
    <w:p w14:paraId="25E737F2" w14:textId="77777777" w:rsidR="001368FF" w:rsidRDefault="00000000">
      <w:pPr>
        <w:spacing w:line="240" w:lineRule="auto"/>
        <w:rPr>
          <w:rFonts w:eastAsia="Aptos" w:cs="Aptos"/>
          <w:sz w:val="22"/>
          <w:szCs w:val="22"/>
        </w:rPr>
      </w:pPr>
      <w:r>
        <w:rPr>
          <w:rFonts w:eastAsia="Aptos" w:cs="Aptos"/>
          <w:sz w:val="22"/>
          <w:szCs w:val="22"/>
        </w:rPr>
        <w:t xml:space="preserve">The greatest potential to improve public health lies in policies that address the negative health impacts of air quality, and how it is inequitably distributed across the city, rather than air quality itself. </w:t>
      </w:r>
    </w:p>
    <w:p w14:paraId="325A171B" w14:textId="77777777" w:rsidR="001368FF" w:rsidRDefault="001368FF">
      <w:pPr>
        <w:spacing w:line="240" w:lineRule="auto"/>
        <w:rPr>
          <w:b/>
          <w:bCs/>
        </w:rPr>
      </w:pPr>
    </w:p>
    <w:p w14:paraId="453538A1" w14:textId="77777777" w:rsidR="001368FF" w:rsidRDefault="001368FF">
      <w:pPr>
        <w:pageBreakBefore/>
        <w:spacing w:line="240" w:lineRule="auto"/>
      </w:pPr>
    </w:p>
    <w:p w14:paraId="25CA5FD1" w14:textId="77777777" w:rsidR="001368FF" w:rsidRDefault="00000000">
      <w:pPr>
        <w:spacing w:line="240" w:lineRule="auto"/>
        <w:rPr>
          <w:b/>
          <w:bCs/>
          <w:sz w:val="28"/>
          <w:szCs w:val="28"/>
        </w:rPr>
      </w:pPr>
      <w:r>
        <w:rPr>
          <w:b/>
          <w:bCs/>
          <w:sz w:val="28"/>
          <w:szCs w:val="28"/>
        </w:rPr>
        <w:t>Air Quality Impacts</w:t>
      </w:r>
    </w:p>
    <w:p w14:paraId="5FCA9AE8" w14:textId="77777777" w:rsidR="001368FF" w:rsidRDefault="00000000">
      <w:pPr>
        <w:spacing w:line="240" w:lineRule="auto"/>
        <w:rPr>
          <w:i/>
          <w:iCs/>
        </w:rPr>
      </w:pPr>
      <w:r>
        <w:rPr>
          <w:i/>
          <w:iCs/>
        </w:rPr>
        <w:t>Data Sources</w:t>
      </w:r>
    </w:p>
    <w:p w14:paraId="7AA5A925" w14:textId="77777777" w:rsidR="001368FF" w:rsidRDefault="00000000">
      <w:pPr>
        <w:pStyle w:val="ListParagraph"/>
        <w:numPr>
          <w:ilvl w:val="0"/>
          <w:numId w:val="1"/>
        </w:numPr>
        <w:spacing w:after="0"/>
        <w:rPr>
          <w:rFonts w:eastAsia="Aptos" w:cs="Aptos"/>
          <w:b/>
          <w:bCs/>
          <w:sz w:val="22"/>
          <w:szCs w:val="22"/>
        </w:rPr>
      </w:pPr>
      <w:r>
        <w:rPr>
          <w:rFonts w:eastAsia="Aptos" w:cs="Aptos"/>
          <w:b/>
          <w:bCs/>
          <w:sz w:val="22"/>
          <w:szCs w:val="22"/>
        </w:rPr>
        <w:t>New York City Community Health Profiles</w:t>
      </w:r>
    </w:p>
    <w:p w14:paraId="4056DBBD" w14:textId="77777777" w:rsidR="001368FF" w:rsidRDefault="00000000">
      <w:pPr>
        <w:pStyle w:val="ListParagraph"/>
        <w:numPr>
          <w:ilvl w:val="0"/>
          <w:numId w:val="1"/>
        </w:numPr>
        <w:spacing w:after="0"/>
      </w:pPr>
      <w:proofErr w:type="spellStart"/>
      <w:r>
        <w:rPr>
          <w:rFonts w:eastAsia="Aptos" w:cs="Aptos"/>
          <w:b/>
          <w:bCs/>
          <w:sz w:val="22"/>
          <w:szCs w:val="22"/>
        </w:rPr>
        <w:t>Councilcount</w:t>
      </w:r>
      <w:proofErr w:type="spellEnd"/>
      <w:r>
        <w:rPr>
          <w:rFonts w:eastAsia="Aptos" w:cs="Aptos"/>
          <w:b/>
          <w:bCs/>
          <w:sz w:val="22"/>
          <w:szCs w:val="22"/>
        </w:rPr>
        <w:t xml:space="preserve"> </w:t>
      </w:r>
      <w:r>
        <w:rPr>
          <w:rFonts w:eastAsia="Aptos" w:cs="Aptos"/>
          <w:sz w:val="22"/>
          <w:szCs w:val="22"/>
        </w:rPr>
        <w:t>for demographics</w:t>
      </w:r>
    </w:p>
    <w:p w14:paraId="5F38BFB2" w14:textId="77777777" w:rsidR="001368FF" w:rsidRDefault="00000000">
      <w:pPr>
        <w:pStyle w:val="ListParagraph"/>
        <w:numPr>
          <w:ilvl w:val="0"/>
          <w:numId w:val="1"/>
        </w:numPr>
        <w:spacing w:after="0"/>
      </w:pPr>
      <w:hyperlink r:id="rId8" w:history="1">
        <w:r>
          <w:rPr>
            <w:rStyle w:val="Hyperlink"/>
            <w:b/>
            <w:bCs/>
            <w:sz w:val="22"/>
            <w:szCs w:val="22"/>
          </w:rPr>
          <w:t>Housing Maintenance Code Violations</w:t>
        </w:r>
      </w:hyperlink>
    </w:p>
    <w:p w14:paraId="1F1EE7EF" w14:textId="77777777" w:rsidR="001368FF" w:rsidRDefault="001368FF">
      <w:pPr>
        <w:pStyle w:val="ListParagraph"/>
        <w:spacing w:after="0"/>
        <w:rPr>
          <w:rFonts w:eastAsia="Aptos" w:cs="Aptos"/>
          <w:b/>
          <w:bCs/>
          <w:sz w:val="22"/>
          <w:szCs w:val="22"/>
        </w:rPr>
      </w:pPr>
    </w:p>
    <w:p w14:paraId="7FB46E3F" w14:textId="77777777" w:rsidR="001368FF" w:rsidRDefault="00000000">
      <w:pPr>
        <w:spacing w:line="240" w:lineRule="auto"/>
      </w:pPr>
      <w:r>
        <w:rPr>
          <w:i/>
          <w:iCs/>
        </w:rPr>
        <w:t>Analysis</w:t>
      </w:r>
    </w:p>
    <w:p w14:paraId="47F67074" w14:textId="77777777" w:rsidR="001368FF" w:rsidRDefault="00000000">
      <w:pPr>
        <w:spacing w:line="240" w:lineRule="auto"/>
      </w:pPr>
      <w:r>
        <w:rPr>
          <w:noProof/>
        </w:rPr>
        <w:drawing>
          <wp:anchor distT="0" distB="0" distL="114300" distR="114300" simplePos="0" relativeHeight="251658240" behindDoc="0" locked="0" layoutInCell="1" allowOverlap="1" wp14:anchorId="448AA042" wp14:editId="1532D161">
            <wp:simplePos x="0" y="0"/>
            <wp:positionH relativeFrom="column">
              <wp:align>left</wp:align>
            </wp:positionH>
            <wp:positionV relativeFrom="paragraph">
              <wp:posOffset>0</wp:posOffset>
            </wp:positionV>
            <wp:extent cx="3803327" cy="2090611"/>
            <wp:effectExtent l="0" t="0" r="0" b="4889"/>
            <wp:wrapSquare wrapText="bothSides"/>
            <wp:docPr id="594341823"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803327" cy="2090611"/>
                    </a:xfrm>
                    <a:prstGeom prst="rect">
                      <a:avLst/>
                    </a:prstGeom>
                    <a:noFill/>
                    <a:ln>
                      <a:noFill/>
                      <a:prstDash/>
                    </a:ln>
                  </pic:spPr>
                </pic:pic>
              </a:graphicData>
            </a:graphic>
          </wp:anchor>
        </w:drawing>
      </w:r>
      <w:r>
        <w:rPr>
          <w:sz w:val="22"/>
          <w:szCs w:val="22"/>
        </w:rPr>
        <w:t xml:space="preserve">At the community district level, % of households receiving SNAP, % Hispanic/Latino, and % Black were demographic factors found to be statistically significantly associated with increased rates of child asthma hospitalizations. </w:t>
      </w:r>
    </w:p>
    <w:p w14:paraId="5444FEDC" w14:textId="77777777" w:rsidR="001368FF" w:rsidRDefault="00000000">
      <w:pPr>
        <w:spacing w:line="240" w:lineRule="auto"/>
      </w:pPr>
      <w:r>
        <w:rPr>
          <w:sz w:val="22"/>
          <w:szCs w:val="22"/>
        </w:rPr>
        <w:t xml:space="preserve">Although there is an established relationship between housing characteristics, such as </w:t>
      </w:r>
      <w:r>
        <w:rPr>
          <w:rFonts w:eastAsia="Aptos" w:cs="Aptos"/>
          <w:sz w:val="22"/>
          <w:szCs w:val="22"/>
        </w:rPr>
        <w:t>moisture and mold, pest and rodent infestations, secondhand smoke, volatile organic compounds (VOCs), and inadequate ventilation, and asthma, th</w:t>
      </w:r>
      <w:r>
        <w:rPr>
          <w:sz w:val="22"/>
          <w:szCs w:val="22"/>
        </w:rPr>
        <w:t xml:space="preserve">e rate of housing maintenance code violations (HMCVs) was not found to be statistically associated. </w:t>
      </w:r>
    </w:p>
    <w:p w14:paraId="75F22D43" w14:textId="77777777" w:rsidR="001368FF" w:rsidRDefault="00000000">
      <w:pPr>
        <w:spacing w:line="240" w:lineRule="auto"/>
        <w:rPr>
          <w:i/>
          <w:iCs/>
        </w:rPr>
      </w:pPr>
      <w:r>
        <w:rPr>
          <w:i/>
          <w:iCs/>
        </w:rPr>
        <w:t>Key neighborhoods</w:t>
      </w:r>
    </w:p>
    <w:p w14:paraId="66BF6065" w14:textId="77777777" w:rsidR="001368FF" w:rsidRDefault="00000000">
      <w:pPr>
        <w:spacing w:line="240" w:lineRule="auto"/>
      </w:pPr>
      <w:r>
        <w:rPr>
          <w:noProof/>
        </w:rPr>
        <w:drawing>
          <wp:inline distT="0" distB="0" distL="0" distR="0" wp14:anchorId="59974211" wp14:editId="1ACE5920">
            <wp:extent cx="3081820" cy="2526907"/>
            <wp:effectExtent l="0" t="0" r="4280" b="393"/>
            <wp:docPr id="21925225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81820" cy="2526907"/>
                    </a:xfrm>
                    <a:prstGeom prst="rect">
                      <a:avLst/>
                    </a:prstGeom>
                    <a:noFill/>
                    <a:ln>
                      <a:noFill/>
                      <a:prstDash/>
                    </a:ln>
                  </pic:spPr>
                </pic:pic>
              </a:graphicData>
            </a:graphic>
          </wp:inline>
        </w:drawing>
      </w:r>
      <w:r>
        <w:rPr>
          <w:noProof/>
        </w:rPr>
        <w:drawing>
          <wp:inline distT="0" distB="0" distL="0" distR="0" wp14:anchorId="793DD705" wp14:editId="546ED613">
            <wp:extent cx="3104049" cy="2549758"/>
            <wp:effectExtent l="0" t="0" r="0" b="2942"/>
            <wp:docPr id="181373592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104049" cy="2549758"/>
                    </a:xfrm>
                    <a:prstGeom prst="rect">
                      <a:avLst/>
                    </a:prstGeom>
                    <a:noFill/>
                    <a:ln>
                      <a:noFill/>
                      <a:prstDash/>
                    </a:ln>
                  </pic:spPr>
                </pic:pic>
              </a:graphicData>
            </a:graphic>
          </wp:inline>
        </w:drawing>
      </w:r>
    </w:p>
    <w:p w14:paraId="56E1E2AC" w14:textId="77777777" w:rsidR="001368FF" w:rsidRDefault="00000000">
      <w:pPr>
        <w:spacing w:line="240" w:lineRule="auto"/>
        <w:rPr>
          <w:rFonts w:eastAsia="Aptos" w:cs="Aptos"/>
          <w:sz w:val="22"/>
          <w:szCs w:val="22"/>
        </w:rPr>
      </w:pPr>
      <w:r>
        <w:rPr>
          <w:rFonts w:eastAsia="Aptos" w:cs="Aptos"/>
          <w:sz w:val="22"/>
          <w:szCs w:val="22"/>
        </w:rPr>
        <w:t xml:space="preserve">Children living in the Bronx and parts of Upper Manhattan experience the highest rates of hospitalization for asthma cases, as well as a lower rate of HMCVs in comparison to other similarly situated districts – potentially highlighting the need for further intervention. The top community districts for childhood asthma include: </w:t>
      </w:r>
    </w:p>
    <w:p w14:paraId="32C1D479" w14:textId="77777777" w:rsidR="001368FF" w:rsidRDefault="00000000">
      <w:pPr>
        <w:spacing w:after="0" w:line="240" w:lineRule="auto"/>
      </w:pPr>
      <w:r>
        <w:rPr>
          <w:rFonts w:eastAsia="Aptos" w:cs="Aptos"/>
          <w:b/>
          <w:bCs/>
          <w:sz w:val="22"/>
          <w:szCs w:val="22"/>
        </w:rPr>
        <w:t>Mott Haven and Melrose (CD1, 201):</w:t>
      </w:r>
      <w:r>
        <w:rPr>
          <w:rFonts w:eastAsia="Aptos" w:cs="Aptos"/>
          <w:sz w:val="22"/>
          <w:szCs w:val="22"/>
        </w:rPr>
        <w:t xml:space="preserve"> 541.4 hospitalizations per 10k children</w:t>
      </w:r>
    </w:p>
    <w:p w14:paraId="510106B0" w14:textId="77777777" w:rsidR="001368FF" w:rsidRDefault="00000000">
      <w:pPr>
        <w:spacing w:after="0" w:line="240" w:lineRule="auto"/>
      </w:pPr>
      <w:r>
        <w:rPr>
          <w:rFonts w:eastAsia="Aptos" w:cs="Aptos"/>
          <w:b/>
          <w:bCs/>
          <w:sz w:val="22"/>
          <w:szCs w:val="22"/>
        </w:rPr>
        <w:t>Central Harlem (CD10, 110):</w:t>
      </w:r>
      <w:r>
        <w:rPr>
          <w:rFonts w:eastAsia="Aptos" w:cs="Aptos"/>
          <w:sz w:val="22"/>
          <w:szCs w:val="22"/>
        </w:rPr>
        <w:t xml:space="preserve"> 511.1 hospitalizations per 10k children</w:t>
      </w:r>
    </w:p>
    <w:p w14:paraId="2F6A7AE2" w14:textId="77777777" w:rsidR="001368FF" w:rsidRDefault="00000000">
      <w:pPr>
        <w:spacing w:after="0" w:line="240" w:lineRule="auto"/>
      </w:pPr>
      <w:r>
        <w:rPr>
          <w:rFonts w:eastAsia="Aptos" w:cs="Aptos"/>
          <w:b/>
          <w:bCs/>
          <w:sz w:val="22"/>
          <w:szCs w:val="22"/>
        </w:rPr>
        <w:lastRenderedPageBreak/>
        <w:t>East Harlem (CD11, 111):</w:t>
      </w:r>
      <w:r>
        <w:rPr>
          <w:rFonts w:eastAsia="Aptos" w:cs="Aptos"/>
          <w:sz w:val="22"/>
          <w:szCs w:val="22"/>
        </w:rPr>
        <w:t xml:space="preserve"> 506.3 hospitalizations per 10k children</w:t>
      </w:r>
    </w:p>
    <w:p w14:paraId="22F90DFD" w14:textId="77777777" w:rsidR="001368FF" w:rsidRDefault="00000000">
      <w:pPr>
        <w:spacing w:after="0" w:line="240" w:lineRule="auto"/>
      </w:pPr>
      <w:r>
        <w:rPr>
          <w:rFonts w:eastAsia="Aptos" w:cs="Aptos"/>
          <w:b/>
          <w:bCs/>
          <w:sz w:val="22"/>
          <w:szCs w:val="22"/>
        </w:rPr>
        <w:t>Brownsville (CD16, 316):</w:t>
      </w:r>
      <w:r>
        <w:rPr>
          <w:rFonts w:eastAsia="Aptos" w:cs="Aptos"/>
          <w:sz w:val="22"/>
          <w:szCs w:val="22"/>
        </w:rPr>
        <w:t xml:space="preserve"> 450.6 hospitalizations per 10k children</w:t>
      </w:r>
    </w:p>
    <w:sectPr w:rsidR="001368FF">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9F631" w14:textId="77777777" w:rsidR="0028538A" w:rsidRDefault="0028538A">
      <w:pPr>
        <w:spacing w:after="0" w:line="240" w:lineRule="auto"/>
      </w:pPr>
      <w:r>
        <w:separator/>
      </w:r>
    </w:p>
  </w:endnote>
  <w:endnote w:type="continuationSeparator" w:id="0">
    <w:p w14:paraId="7D0D033D" w14:textId="77777777" w:rsidR="0028538A" w:rsidRDefault="00285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092FA" w14:textId="77777777" w:rsidR="0028538A" w:rsidRDefault="0028538A">
      <w:pPr>
        <w:spacing w:after="0" w:line="240" w:lineRule="auto"/>
      </w:pPr>
      <w:r>
        <w:rPr>
          <w:color w:val="000000"/>
        </w:rPr>
        <w:separator/>
      </w:r>
    </w:p>
  </w:footnote>
  <w:footnote w:type="continuationSeparator" w:id="0">
    <w:p w14:paraId="1C98219E" w14:textId="77777777" w:rsidR="0028538A" w:rsidRDefault="00285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70717"/>
    <w:multiLevelType w:val="multilevel"/>
    <w:tmpl w:val="3E2A1C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65309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1368FF"/>
    <w:rsid w:val="001368FF"/>
    <w:rsid w:val="00192F5D"/>
    <w:rsid w:val="0028538A"/>
    <w:rsid w:val="00D71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047273"/>
  <w15:docId w15:val="{96BE5EF4-13D0-C844-B0E0-F0884299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S Mincho" w:hAnsi="Aptos" w:cs="Arial"/>
        <w:sz w:val="24"/>
        <w:szCs w:val="24"/>
        <w:lang w:val="en-US" w:eastAsia="ja-JP"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character" w:styleId="Hyperlink">
    <w:name w:val="Hyperlink"/>
    <w:basedOn w:val="DefaultParagraphFont"/>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cityofnewyork.us/Housing-Development/Housing-Maintenance-Code-Violations/wvxf-dwi5/about_dat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Hirota, Reese</dc:creator>
  <dc:description/>
  <cp:lastModifiedBy>Nunez, Melissa</cp:lastModifiedBy>
  <cp:revision>2</cp:revision>
  <dcterms:created xsi:type="dcterms:W3CDTF">2026-07-23T16:24:00Z</dcterms:created>
  <dcterms:modified xsi:type="dcterms:W3CDTF">2026-07-23T16:24:00Z</dcterms:modified>
</cp:coreProperties>
</file>