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0E2B05" wp14:paraId="49514552" wp14:textId="132888E5">
      <w:pPr>
        <w:spacing w:before="0" w:beforeAutospacing="off" w:after="0" w:afterAutospacing="off"/>
      </w:pPr>
    </w:p>
    <w:p xmlns:wp14="http://schemas.microsoft.com/office/word/2010/wordml" w:rsidP="0D0E2B05" wp14:paraId="3726E4DD" wp14:textId="7C09DF1B">
      <w:pPr>
        <w:pStyle w:val="Heading1"/>
        <w:spacing w:before="0" w:beforeAutospacing="off" w:after="120" w:afterAutospacing="off"/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48"/>
          <w:szCs w:val="48"/>
          <w:lang w:eastAsia="ja-JP"/>
        </w:rPr>
        <w:t>技術仕様書：広帯域電磁波吸収・環境遮蔽複合媒体 (MCH-2)</w:t>
      </w:r>
    </w:p>
    <w:p xmlns:wp14="http://schemas.microsoft.com/office/word/2010/wordml" w:rsidP="0D0E2B05" wp14:paraId="41952BBF" wp14:textId="44AA768E">
      <w:pPr>
        <w:pStyle w:val="Heading1"/>
        <w:spacing w:before="0" w:beforeAutospacing="off" w:after="120" w:afterAutospacing="off"/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48"/>
          <w:szCs w:val="48"/>
          <w:lang w:eastAsia="ja-JP"/>
        </w:rPr>
        <w:t>Technical Specifications: Wide-Band EM Absorbing &amp; Shielding Composite (MCH-2)</w:t>
      </w:r>
    </w:p>
    <w:p xmlns:wp14="http://schemas.microsoft.com/office/word/2010/wordml" w:rsidP="0D0E2B05" wp14:paraId="4381CBBD" wp14:textId="30832482">
      <w:pPr>
        <w:pStyle w:val="Heading2"/>
        <w:spacing w:before="0" w:beforeAutospacing="off" w:after="120" w:afterAutospacing="off"/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36"/>
          <w:szCs w:val="36"/>
          <w:lang w:eastAsia="ja-JP"/>
        </w:rPr>
        <w:t>1. 権利の完全放棄 / Universal Waiver of Rights</w:t>
      </w:r>
    </w:p>
    <w:p xmlns:wp14="http://schemas.microsoft.com/office/word/2010/wordml" w:rsidP="0D0E2B05" wp14:paraId="25F77C6B" wp14:textId="28C9573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公共財の宣言 / Public Domain: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本技術は人類共通の資産（Public Domain）である。 / This technology is a universal asset for humanity.</w:t>
      </w:r>
    </w:p>
    <w:p xmlns:wp14="http://schemas.microsoft.com/office/word/2010/wordml" w:rsidP="0D0E2B05" wp14:paraId="4BFB1E05" wp14:textId="16ABFAA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権利放棄 / Waiver: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開発者は、本技術に関する一切の特許権、意匠権、および商業的権益を永久に放棄する。 / The developer permanently waives all patent, design, and commercial rights.</w:t>
      </w:r>
    </w:p>
    <w:p xmlns:wp14="http://schemas.microsoft.com/office/word/2010/wordml" w:rsidP="0D0E2B05" wp14:paraId="308CA656" wp14:textId="7A87FA3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独占の禁止 / Prohibition: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第三者による本技術の独占的利用、特許出願、または商標登録は、公知の事実に基づき永久に拒絶される。 / Any attempt by third parties to monopolize, patent, or trademark this technology is permanently rejected as it is now public knowledge.</w:t>
      </w:r>
    </w:p>
    <w:p xmlns:wp14="http://schemas.microsoft.com/office/word/2010/wordml" w:rsidP="0D0E2B05" wp14:paraId="04EC5BFB" wp14:textId="73520143">
      <w:pPr>
        <w:pStyle w:val="Heading2"/>
        <w:spacing w:before="0" w:beforeAutospacing="off" w:after="120" w:afterAutospacing="off"/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36"/>
          <w:szCs w:val="36"/>
          <w:lang w:eastAsia="ja-JP"/>
        </w:rPr>
        <w:t>2. 媒体組成重量比および物理定数 / Compositional Specs &amp; Physical Constants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29"/>
        <w:gridCol w:w="605"/>
        <w:gridCol w:w="6481"/>
      </w:tblGrid>
      <w:tr w:rsidR="0D0E2B05" w:rsidTr="0D0E2B05" w14:paraId="3EC5CDCD">
        <w:trPr>
          <w:trHeight w:val="300"/>
        </w:trPr>
        <w:tc>
          <w:tcPr>
            <w:tcW w:w="19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0E2B05" w:rsidP="0D0E2B05" w:rsidRDefault="0D0E2B05" w14:paraId="72B5764F" w14:textId="0109614B">
            <w:pPr>
              <w:spacing w:before="0" w:beforeAutospacing="off" w:after="0" w:afterAutospacing="off"/>
            </w:pPr>
            <w:r w:rsidRPr="0D0E2B05" w:rsidR="0D0E2B05">
              <w:rPr>
                <w:b w:val="1"/>
                <w:bCs w:val="1"/>
                <w:color w:val="1F1F1F"/>
              </w:rPr>
              <w:t>成分 (Component)</w:t>
            </w:r>
          </w:p>
        </w:tc>
        <w:tc>
          <w:tcPr>
            <w:tcW w:w="6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0E2B05" w:rsidP="0D0E2B05" w:rsidRDefault="0D0E2B05" w14:paraId="126DAD01" w14:textId="1CF57757">
            <w:pPr>
              <w:spacing w:before="0" w:beforeAutospacing="off" w:after="0" w:afterAutospacing="off"/>
            </w:pPr>
            <w:r w:rsidRPr="0D0E2B05" w:rsidR="0D0E2B05">
              <w:rPr>
                <w:b w:val="1"/>
                <w:bCs w:val="1"/>
                <w:color w:val="1F1F1F"/>
              </w:rPr>
              <w:t>重量比 (%)</w:t>
            </w:r>
          </w:p>
        </w:tc>
        <w:tc>
          <w:tcPr>
            <w:tcW w:w="64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0D0E2B05" w:rsidP="0D0E2B05" w:rsidRDefault="0D0E2B05" w14:paraId="556A6CE7" w14:textId="2C0A96E7">
            <w:pPr>
              <w:spacing w:before="0" w:beforeAutospacing="off" w:after="0" w:afterAutospacing="off"/>
            </w:pPr>
            <w:r w:rsidRPr="0D0E2B05" w:rsidR="0D0E2B05">
              <w:rPr>
                <w:b w:val="1"/>
                <w:bCs w:val="1"/>
                <w:color w:val="1F1F1F"/>
              </w:rPr>
              <w:t>物理的役割・定数 (Role &amp; Constants)</w:t>
            </w:r>
          </w:p>
        </w:tc>
      </w:tr>
      <w:tr w:rsidR="0D0E2B05" w:rsidTr="0D0E2B05" w14:paraId="37666138">
        <w:trPr>
          <w:trHeight w:val="300"/>
        </w:trPr>
        <w:tc>
          <w:tcPr>
            <w:tcW w:w="19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0E2B05" w:rsidP="0D0E2B05" w:rsidRDefault="0D0E2B05" w14:paraId="12500F48" w14:textId="69C6E733">
            <w:pPr>
              <w:spacing w:before="0" w:beforeAutospacing="off" w:after="0" w:afterAutospacing="off"/>
            </w:pPr>
            <w:r w:rsidRPr="0D0E2B05" w:rsidR="0D0E2B05">
              <w:rPr>
                <w:b w:val="1"/>
                <w:bCs w:val="1"/>
                <w:color w:val="1F1F1F"/>
              </w:rPr>
              <w:t>高純度シリカ砂 / Silica Sand</w:t>
            </w:r>
          </w:p>
        </w:tc>
        <w:tc>
          <w:tcPr>
            <w:tcW w:w="6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0E2B05" w:rsidP="0D0E2B05" w:rsidRDefault="0D0E2B05" w14:paraId="7E7F3718" w14:textId="7D174D82">
            <w:pPr>
              <w:spacing w:before="0" w:beforeAutospacing="off" w:after="0" w:afterAutospacing="off"/>
            </w:pPr>
            <w:r w:rsidRPr="0D0E2B05" w:rsidR="0D0E2B05">
              <w:rPr>
                <w:b w:val="1"/>
                <w:bCs w:val="1"/>
                <w:color w:val="1F1F1F"/>
              </w:rPr>
              <w:t>55.0%</w:t>
            </w:r>
          </w:p>
        </w:tc>
        <w:tc>
          <w:tcPr>
            <w:tcW w:w="64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0D0E2B05" w:rsidP="0D0E2B05" w:rsidRDefault="0D0E2B05" w14:paraId="12C82C21" w14:textId="5EBA0C10">
            <w:pPr>
              <w:spacing w:before="0" w:beforeAutospacing="off" w:after="0" w:afterAutospacing="off"/>
            </w:pPr>
            <w:r w:rsidRPr="0D0E2B05" w:rsidR="0D0E2B05">
              <w:rPr>
                <w:color w:val="1F1F1F"/>
              </w:rPr>
              <w:t>基材：$\epsilon_r \approx 3.8$。多孔質による散乱 / Matrix: $\epsilon_r \approx 3.8$, Scattering</w:t>
            </w:r>
          </w:p>
        </w:tc>
      </w:tr>
      <w:tr w:rsidR="0D0E2B05" w:rsidTr="0D0E2B05" w14:paraId="2F8E31B2">
        <w:trPr>
          <w:trHeight w:val="300"/>
        </w:trPr>
        <w:tc>
          <w:tcPr>
            <w:tcW w:w="19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0E2B05" w:rsidP="0D0E2B05" w:rsidRDefault="0D0E2B05" w14:paraId="0CE8E936" w14:textId="1049FC7A">
            <w:pPr>
              <w:spacing w:before="0" w:beforeAutospacing="off" w:after="0" w:afterAutospacing="off"/>
            </w:pPr>
            <w:r w:rsidRPr="0D0E2B05" w:rsidR="0D0E2B05">
              <w:rPr>
                <w:b w:val="1"/>
                <w:bCs w:val="1"/>
                <w:color w:val="1F1F1F"/>
              </w:rPr>
              <w:t>破砕玄武岩 / Crushed Basalt</w:t>
            </w:r>
          </w:p>
        </w:tc>
        <w:tc>
          <w:tcPr>
            <w:tcW w:w="6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0E2B05" w:rsidP="0D0E2B05" w:rsidRDefault="0D0E2B05" w14:paraId="57A99C12" w14:textId="6E10204E">
            <w:pPr>
              <w:spacing w:before="0" w:beforeAutospacing="off" w:after="0" w:afterAutospacing="off"/>
            </w:pPr>
            <w:r w:rsidRPr="0D0E2B05" w:rsidR="0D0E2B05">
              <w:rPr>
                <w:b w:val="1"/>
                <w:bCs w:val="1"/>
                <w:color w:val="1F1F1F"/>
              </w:rPr>
              <w:t>15.0%</w:t>
            </w:r>
          </w:p>
        </w:tc>
        <w:tc>
          <w:tcPr>
            <w:tcW w:w="64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0D0E2B05" w:rsidP="0D0E2B05" w:rsidRDefault="0D0E2B05" w14:paraId="2BCFA8DC" w14:textId="089A5E90">
            <w:pPr>
              <w:spacing w:before="0" w:beforeAutospacing="off" w:after="0" w:afterAutospacing="off"/>
            </w:pPr>
            <w:r w:rsidRPr="0D0E2B05" w:rsidR="0D0E2B05">
              <w:rPr>
                <w:color w:val="1F1F1F"/>
              </w:rPr>
              <w:t>放射：遠赤外線放射率 $\epsilon &gt; 0.9$ / Radiation: FIR Emissivity $\epsilon &gt; 0.9$</w:t>
            </w:r>
          </w:p>
        </w:tc>
      </w:tr>
      <w:tr w:rsidR="0D0E2B05" w:rsidTr="0D0E2B05" w14:paraId="1DC14CF6">
        <w:trPr>
          <w:trHeight w:val="300"/>
        </w:trPr>
        <w:tc>
          <w:tcPr>
            <w:tcW w:w="19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0E2B05" w:rsidP="0D0E2B05" w:rsidRDefault="0D0E2B05" w14:paraId="1470F6FD" w14:textId="36EC0DD3">
            <w:pPr>
              <w:spacing w:before="0" w:beforeAutospacing="off" w:after="0" w:afterAutospacing="off"/>
            </w:pPr>
            <w:r w:rsidRPr="0D0E2B05" w:rsidR="0D0E2B05">
              <w:rPr>
                <w:b w:val="1"/>
                <w:bCs w:val="1"/>
                <w:color w:val="1F1F1F"/>
              </w:rPr>
              <w:t>ビスマス粉末 / Bismuth Powder</w:t>
            </w:r>
          </w:p>
        </w:tc>
        <w:tc>
          <w:tcPr>
            <w:tcW w:w="6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0E2B05" w:rsidP="0D0E2B05" w:rsidRDefault="0D0E2B05" w14:paraId="7C1DD75E" w14:textId="1099B8BE">
            <w:pPr>
              <w:spacing w:before="0" w:beforeAutospacing="off" w:after="0" w:afterAutospacing="off"/>
            </w:pPr>
            <w:r w:rsidRPr="0D0E2B05" w:rsidR="0D0E2B05">
              <w:rPr>
                <w:b w:val="1"/>
                <w:bCs w:val="1"/>
                <w:color w:val="1F1F1F"/>
              </w:rPr>
              <w:t>10.0%</w:t>
            </w:r>
          </w:p>
        </w:tc>
        <w:tc>
          <w:tcPr>
            <w:tcW w:w="64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0D0E2B05" w:rsidP="0D0E2B05" w:rsidRDefault="0D0E2B05" w14:paraId="67639B30" w14:textId="4FF89237">
            <w:pPr>
              <w:spacing w:before="0" w:beforeAutospacing="off" w:after="0" w:afterAutospacing="off"/>
            </w:pPr>
            <w:r w:rsidRPr="0D0E2B05" w:rsidR="0D0E2B05">
              <w:rPr>
                <w:color w:val="1F1F1F"/>
              </w:rPr>
              <w:t>遮蔽：磁化率 $\chi_m = -1.6 \times 10^{-4}$。</w:t>
            </w:r>
            <w:r w:rsidRPr="0D0E2B05" w:rsidR="0D0E2B05">
              <w:rPr>
                <w:b w:val="1"/>
                <w:bCs w:val="1"/>
                <w:color w:val="1F1F1F"/>
              </w:rPr>
              <w:t>3.3%膨張</w:t>
            </w:r>
            <w:r w:rsidRPr="0D0E2B05" w:rsidR="0D0E2B05">
              <w:rPr>
                <w:color w:val="1F1F1F"/>
              </w:rPr>
              <w:t xml:space="preserve"> / Susceptibility: $-1.6 \times 10^{-4}$, </w:t>
            </w:r>
            <w:r w:rsidRPr="0D0E2B05" w:rsidR="0D0E2B05">
              <w:rPr>
                <w:b w:val="1"/>
                <w:bCs w:val="1"/>
                <w:color w:val="1F1F1F"/>
              </w:rPr>
              <w:t>3.3% Expansion</w:t>
            </w:r>
          </w:p>
        </w:tc>
      </w:tr>
      <w:tr w:rsidR="0D0E2B05" w:rsidTr="0D0E2B05" w14:paraId="6F785005">
        <w:trPr>
          <w:trHeight w:val="300"/>
        </w:trPr>
        <w:tc>
          <w:tcPr>
            <w:tcW w:w="19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0E2B05" w:rsidP="0D0E2B05" w:rsidRDefault="0D0E2B05" w14:paraId="7D23F1F7" w14:textId="7A228077">
            <w:pPr>
              <w:spacing w:before="0" w:beforeAutospacing="off" w:after="0" w:afterAutospacing="off"/>
            </w:pPr>
            <w:r w:rsidRPr="0D0E2B05" w:rsidR="0D0E2B05">
              <w:rPr>
                <w:b w:val="1"/>
                <w:bCs w:val="1"/>
                <w:color w:val="1F1F1F"/>
              </w:rPr>
              <w:t>高配向グラファイト / HOPG</w:t>
            </w:r>
          </w:p>
        </w:tc>
        <w:tc>
          <w:tcPr>
            <w:tcW w:w="6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0E2B05" w:rsidP="0D0E2B05" w:rsidRDefault="0D0E2B05" w14:paraId="6C907523" w14:textId="2A41864E">
            <w:pPr>
              <w:spacing w:before="0" w:beforeAutospacing="off" w:after="0" w:afterAutospacing="off"/>
            </w:pPr>
            <w:r w:rsidRPr="0D0E2B05" w:rsidR="0D0E2B05">
              <w:rPr>
                <w:b w:val="1"/>
                <w:bCs w:val="1"/>
                <w:color w:val="1F1F1F"/>
              </w:rPr>
              <w:t>8.0%</w:t>
            </w:r>
          </w:p>
        </w:tc>
        <w:tc>
          <w:tcPr>
            <w:tcW w:w="64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0D0E2B05" w:rsidP="0D0E2B05" w:rsidRDefault="0D0E2B05" w14:paraId="08A6E373" w14:textId="35D21947">
            <w:pPr>
              <w:spacing w:before="0" w:beforeAutospacing="off" w:after="0" w:afterAutospacing="off"/>
            </w:pPr>
            <w:r w:rsidRPr="0D0E2B05" w:rsidR="0D0E2B05">
              <w:rPr>
                <w:color w:val="1F1F1F"/>
              </w:rPr>
              <w:t>変換：異方性導電率 $\sigma \approx 10^4$ S/m / Conversion: Anisotropic Conductivity $\sigma \approx 10^4$ S/m</w:t>
            </w:r>
          </w:p>
        </w:tc>
      </w:tr>
      <w:tr w:rsidR="0D0E2B05" w:rsidTr="0D0E2B05" w14:paraId="6D98C748">
        <w:trPr>
          <w:trHeight w:val="300"/>
        </w:trPr>
        <w:tc>
          <w:tcPr>
            <w:tcW w:w="19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0E2B05" w:rsidP="0D0E2B05" w:rsidRDefault="0D0E2B05" w14:paraId="6F6F8019" w14:textId="0A41ED04">
            <w:pPr>
              <w:spacing w:before="0" w:beforeAutospacing="off" w:after="0" w:afterAutospacing="off"/>
            </w:pPr>
            <w:r w:rsidRPr="0D0E2B05" w:rsidR="0D0E2B05">
              <w:rPr>
                <w:b w:val="1"/>
                <w:bCs w:val="1"/>
                <w:color w:val="1F1F1F"/>
              </w:rPr>
              <w:t>炭化ケイ素 / Silicon Carbide (SiC)</w:t>
            </w:r>
          </w:p>
        </w:tc>
        <w:tc>
          <w:tcPr>
            <w:tcW w:w="6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0E2B05" w:rsidP="0D0E2B05" w:rsidRDefault="0D0E2B05" w14:paraId="6EB5041E" w14:textId="5F7F13F5">
            <w:pPr>
              <w:spacing w:before="0" w:beforeAutospacing="off" w:after="0" w:afterAutospacing="off"/>
            </w:pPr>
            <w:r w:rsidRPr="0D0E2B05" w:rsidR="0D0E2B05">
              <w:rPr>
                <w:b w:val="1"/>
                <w:bCs w:val="1"/>
                <w:color w:val="1F1F1F"/>
              </w:rPr>
              <w:t>5.0%</w:t>
            </w:r>
          </w:p>
        </w:tc>
        <w:tc>
          <w:tcPr>
            <w:tcW w:w="64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0D0E2B05" w:rsidP="0D0E2B05" w:rsidRDefault="0D0E2B05" w14:paraId="6BC3684E" w14:textId="35496804">
            <w:pPr>
              <w:spacing w:before="0" w:beforeAutospacing="off" w:after="0" w:afterAutospacing="off"/>
            </w:pPr>
            <w:r w:rsidRPr="0D0E2B05" w:rsidR="0D0E2B05">
              <w:rPr>
                <w:color w:val="1F1F1F"/>
              </w:rPr>
              <w:t>伝導：熱伝導率 $\kappa \approx 120$ W/mK / Conduction: Thermal Conductivity $\kappa \approx 120$ W/mK</w:t>
            </w:r>
          </w:p>
        </w:tc>
      </w:tr>
      <w:tr w:rsidR="0D0E2B05" w:rsidTr="0D0E2B05" w14:paraId="7BE1180B">
        <w:trPr>
          <w:trHeight w:val="300"/>
        </w:trPr>
        <w:tc>
          <w:tcPr>
            <w:tcW w:w="19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0E2B05" w:rsidP="0D0E2B05" w:rsidRDefault="0D0E2B05" w14:paraId="10071B2D" w14:textId="2AB56F21">
            <w:pPr>
              <w:spacing w:before="0" w:beforeAutospacing="off" w:after="0" w:afterAutospacing="off"/>
            </w:pPr>
            <w:r w:rsidRPr="0D0E2B05" w:rsidR="0D0E2B05">
              <w:rPr>
                <w:b w:val="1"/>
                <w:bCs w:val="1"/>
                <w:color w:val="1F1F1F"/>
              </w:rPr>
              <w:t>膨張性マイカ / Expandable Mica</w:t>
            </w:r>
          </w:p>
        </w:tc>
        <w:tc>
          <w:tcPr>
            <w:tcW w:w="6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0E2B05" w:rsidP="0D0E2B05" w:rsidRDefault="0D0E2B05" w14:paraId="227B337E" w14:textId="3CA31999">
            <w:pPr>
              <w:spacing w:before="0" w:beforeAutospacing="off" w:after="0" w:afterAutospacing="off"/>
            </w:pPr>
            <w:r w:rsidRPr="0D0E2B05" w:rsidR="0D0E2B05">
              <w:rPr>
                <w:b w:val="1"/>
                <w:bCs w:val="1"/>
                <w:color w:val="1F1F1F"/>
              </w:rPr>
              <w:t>4.8%</w:t>
            </w:r>
          </w:p>
        </w:tc>
        <w:tc>
          <w:tcPr>
            <w:tcW w:w="64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0D0E2B05" w:rsidP="0D0E2B05" w:rsidRDefault="0D0E2B05" w14:paraId="4B593AD3" w14:textId="7DC74FDA">
            <w:pPr>
              <w:spacing w:before="0" w:beforeAutospacing="off" w:after="0" w:afterAutospacing="off"/>
            </w:pPr>
            <w:r w:rsidRPr="0D0E2B05" w:rsidR="0D0E2B05">
              <w:rPr>
                <w:color w:val="1F1F1F"/>
              </w:rPr>
              <w:t>捕捉：多層膜トラップ。界面分極 / Trapping: Multilayer traps, Interface polarization</w:t>
            </w:r>
          </w:p>
        </w:tc>
      </w:tr>
      <w:tr w:rsidR="0D0E2B05" w:rsidTr="0D0E2B05" w14:paraId="5341FD86">
        <w:trPr>
          <w:trHeight w:val="300"/>
        </w:trPr>
        <w:tc>
          <w:tcPr>
            <w:tcW w:w="19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0E2B05" w:rsidP="0D0E2B05" w:rsidRDefault="0D0E2B05" w14:paraId="63505F9C" w14:textId="6DDC04DE">
            <w:pPr>
              <w:spacing w:before="0" w:beforeAutospacing="off" w:after="0" w:afterAutospacing="off"/>
            </w:pPr>
            <w:r w:rsidRPr="0D0E2B05" w:rsidR="0D0E2B05">
              <w:rPr>
                <w:b w:val="1"/>
                <w:bCs w:val="1"/>
                <w:color w:val="1F1F1F"/>
              </w:rPr>
              <w:t>窒化ホウ素 / Boron Nitride (BN)</w:t>
            </w:r>
          </w:p>
        </w:tc>
        <w:tc>
          <w:tcPr>
            <w:tcW w:w="6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0E2B05" w:rsidP="0D0E2B05" w:rsidRDefault="0D0E2B05" w14:paraId="20E4894D" w14:textId="42B83C23">
            <w:pPr>
              <w:spacing w:before="0" w:beforeAutospacing="off" w:after="0" w:afterAutospacing="off"/>
            </w:pPr>
            <w:r w:rsidRPr="0D0E2B05" w:rsidR="0D0E2B05">
              <w:rPr>
                <w:b w:val="1"/>
                <w:bCs w:val="1"/>
                <w:color w:val="1F1F1F"/>
              </w:rPr>
              <w:t>2.0%</w:t>
            </w:r>
          </w:p>
        </w:tc>
        <w:tc>
          <w:tcPr>
            <w:tcW w:w="64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0D0E2B05" w:rsidP="0D0E2B05" w:rsidRDefault="0D0E2B05" w14:paraId="44E28B4C" w14:textId="7B43E07D">
            <w:pPr>
              <w:spacing w:before="0" w:beforeAutospacing="off" w:after="0" w:afterAutospacing="off"/>
            </w:pPr>
            <w:r w:rsidRPr="0D0E2B05" w:rsidR="0D0E2B05">
              <w:rPr>
                <w:color w:val="1F1F1F"/>
              </w:rPr>
              <w:t>潤滑：熱伝導改善。界面抵抗低減 / Lubrication: Thermal improvement, Interface reduction</w:t>
            </w:r>
          </w:p>
        </w:tc>
      </w:tr>
      <w:tr w:rsidR="0D0E2B05" w:rsidTr="0D0E2B05" w14:paraId="763D1F3E">
        <w:trPr>
          <w:trHeight w:val="300"/>
        </w:trPr>
        <w:tc>
          <w:tcPr>
            <w:tcW w:w="19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0E2B05" w:rsidP="0D0E2B05" w:rsidRDefault="0D0E2B05" w14:paraId="335787BE" w14:textId="0DACEF42">
            <w:pPr>
              <w:spacing w:before="0" w:beforeAutospacing="off" w:after="0" w:afterAutospacing="off"/>
            </w:pPr>
            <w:r w:rsidRPr="0D0E2B05" w:rsidR="0D0E2B05">
              <w:rPr>
                <w:b w:val="1"/>
                <w:bCs w:val="1"/>
                <w:color w:val="1F1F1F"/>
              </w:rPr>
              <w:t>防爆触媒：重曹 / $NaHCO_3$</w:t>
            </w:r>
          </w:p>
        </w:tc>
        <w:tc>
          <w:tcPr>
            <w:tcW w:w="6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0E2B05" w:rsidP="0D0E2B05" w:rsidRDefault="0D0E2B05" w14:paraId="2D81E5A2" w14:textId="7726F554">
            <w:pPr>
              <w:spacing w:before="0" w:beforeAutospacing="off" w:after="0" w:afterAutospacing="off"/>
            </w:pPr>
            <w:r w:rsidRPr="0D0E2B05" w:rsidR="0D0E2B05">
              <w:rPr>
                <w:b w:val="1"/>
                <w:bCs w:val="1"/>
                <w:color w:val="1F1F1F"/>
              </w:rPr>
              <w:t>0.2%</w:t>
            </w:r>
          </w:p>
        </w:tc>
        <w:tc>
          <w:tcPr>
            <w:tcW w:w="64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0D0E2B05" w:rsidP="0D0E2B05" w:rsidRDefault="0D0E2B05" w14:paraId="20FDA0C9" w14:textId="78749F76">
            <w:pPr>
              <w:spacing w:before="0" w:beforeAutospacing="off" w:after="0" w:afterAutospacing="off"/>
            </w:pPr>
            <w:r w:rsidRPr="0D0E2B05" w:rsidR="0D0E2B05">
              <w:rPr>
                <w:color w:val="1F1F1F"/>
              </w:rPr>
              <w:t>安定：270℃以上で$CO_2$放出（酸化防止） / Stability: $CO_2$ release at 270°C+ (Anti-oxidation)</w:t>
            </w:r>
          </w:p>
        </w:tc>
      </w:tr>
    </w:tbl>
    <w:p xmlns:wp14="http://schemas.microsoft.com/office/word/2010/wordml" w:rsidP="0D0E2B05" wp14:paraId="118A8FE1" wp14:textId="3D040E98">
      <w:pPr>
        <w:pStyle w:val="Heading2"/>
        <w:bidi w:val="0"/>
        <w:spacing w:before="0" w:beforeAutospacing="off" w:after="120" w:afterAutospacing="off"/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36"/>
          <w:szCs w:val="36"/>
          <w:lang w:eastAsia="ja-JP"/>
        </w:rPr>
        <w:t>3. 性能・コスト比較 (MCH-2 vs 一般品) / Performance &amp; Cost Comparison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53"/>
        <w:gridCol w:w="3209"/>
        <w:gridCol w:w="3853"/>
      </w:tblGrid>
      <w:tr w:rsidR="0D0E2B05" w:rsidTr="0D0E2B05" w14:paraId="47454DA4">
        <w:trPr>
          <w:trHeight w:val="300"/>
        </w:trPr>
        <w:tc>
          <w:tcPr>
            <w:tcW w:w="19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0E2B05" w:rsidP="0D0E2B05" w:rsidRDefault="0D0E2B05" w14:paraId="61121D26" w14:textId="70827FA5">
            <w:pPr>
              <w:bidi w:val="0"/>
              <w:spacing w:before="0" w:beforeAutospacing="off" w:after="0" w:afterAutospacing="off"/>
            </w:pPr>
            <w:r w:rsidRPr="0D0E2B05" w:rsidR="0D0E2B05">
              <w:rPr>
                <w:b w:val="1"/>
                <w:bCs w:val="1"/>
                <w:color w:val="1F1F1F"/>
              </w:rPr>
              <w:t>項目 (Item)</w:t>
            </w:r>
          </w:p>
        </w:tc>
        <w:tc>
          <w:tcPr>
            <w:tcW w:w="32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0E2B05" w:rsidP="0D0E2B05" w:rsidRDefault="0D0E2B05" w14:paraId="6C6B339F" w14:textId="0A927309">
            <w:pPr>
              <w:bidi w:val="0"/>
              <w:spacing w:before="0" w:beforeAutospacing="off" w:after="0" w:afterAutospacing="off"/>
            </w:pPr>
            <w:r w:rsidRPr="0D0E2B05" w:rsidR="0D0E2B05">
              <w:rPr>
                <w:b w:val="1"/>
                <w:bCs w:val="1"/>
                <w:color w:val="1F1F1F"/>
              </w:rPr>
              <w:t>一般的な電波吸収材 (Standard Materials)</w:t>
            </w:r>
          </w:p>
        </w:tc>
        <w:tc>
          <w:tcPr>
            <w:tcW w:w="38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0D0E2B05" w:rsidP="0D0E2B05" w:rsidRDefault="0D0E2B05" w14:paraId="3F7EE9A3" w14:textId="6FED2740">
            <w:pPr>
              <w:bidi w:val="0"/>
              <w:spacing w:before="0" w:beforeAutospacing="off" w:after="0" w:afterAutospacing="off"/>
            </w:pPr>
            <w:r w:rsidRPr="0D0E2B05" w:rsidR="0D0E2B05">
              <w:rPr>
                <w:b w:val="1"/>
                <w:bCs w:val="1"/>
                <w:color w:val="1F1F1F"/>
              </w:rPr>
              <w:t>MCH-2 (本技術 / MCH-2 Technology)</w:t>
            </w:r>
          </w:p>
        </w:tc>
      </w:tr>
      <w:tr w:rsidR="0D0E2B05" w:rsidTr="0D0E2B05" w14:paraId="15E668C8">
        <w:trPr>
          <w:trHeight w:val="300"/>
        </w:trPr>
        <w:tc>
          <w:tcPr>
            <w:tcW w:w="19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0E2B05" w:rsidP="0D0E2B05" w:rsidRDefault="0D0E2B05" w14:paraId="4262A9E0" w14:textId="006EE36E">
            <w:pPr>
              <w:bidi w:val="0"/>
              <w:spacing w:before="0" w:beforeAutospacing="off" w:after="0" w:afterAutospacing="off"/>
            </w:pPr>
            <w:r w:rsidRPr="0D0E2B05" w:rsidR="0D0E2B05">
              <w:rPr>
                <w:b w:val="1"/>
                <w:bCs w:val="1"/>
                <w:color w:val="1F1F1F"/>
              </w:rPr>
              <w:t>吸収帯域 (Bandwidth)</w:t>
            </w:r>
          </w:p>
        </w:tc>
        <w:tc>
          <w:tcPr>
            <w:tcW w:w="32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0E2B05" w:rsidP="0D0E2B05" w:rsidRDefault="0D0E2B05" w14:paraId="208AD0C1" w14:textId="69A8769A">
            <w:pPr>
              <w:bidi w:val="0"/>
              <w:spacing w:before="0" w:beforeAutospacing="off" w:after="0" w:afterAutospacing="off"/>
            </w:pPr>
            <w:r w:rsidRPr="0D0E2B05" w:rsidR="0D0E2B05">
              <w:rPr>
                <w:color w:val="1F1F1F"/>
              </w:rPr>
              <w:t>特定周波数に限定 (Narrow / Selective)</w:t>
            </w:r>
          </w:p>
        </w:tc>
        <w:tc>
          <w:tcPr>
            <w:tcW w:w="38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0D0E2B05" w:rsidP="0D0E2B05" w:rsidRDefault="0D0E2B05" w14:paraId="097173A0" w14:textId="03832D1B">
            <w:pPr>
              <w:bidi w:val="0"/>
              <w:spacing w:before="0" w:beforeAutospacing="off" w:after="0" w:afterAutospacing="off"/>
            </w:pPr>
            <w:r w:rsidRPr="0D0E2B05" w:rsidR="0D0E2B05">
              <w:rPr>
                <w:b w:val="1"/>
                <w:bCs w:val="1"/>
                <w:color w:val="1F1F1F"/>
              </w:rPr>
              <w:t>超広帯域 (1MHz - 100GHz+) / Ultra-Wideband</w:t>
            </w:r>
          </w:p>
        </w:tc>
      </w:tr>
      <w:tr w:rsidR="0D0E2B05" w:rsidTr="0D0E2B05" w14:paraId="0F8A7667">
        <w:trPr>
          <w:trHeight w:val="300"/>
        </w:trPr>
        <w:tc>
          <w:tcPr>
            <w:tcW w:w="19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0E2B05" w:rsidP="0D0E2B05" w:rsidRDefault="0D0E2B05" w14:paraId="6EB88764" w14:textId="3B1DA1FF">
            <w:pPr>
              <w:bidi w:val="0"/>
              <w:spacing w:before="0" w:beforeAutospacing="off" w:after="0" w:afterAutospacing="off"/>
            </w:pPr>
            <w:r w:rsidRPr="0D0E2B05" w:rsidR="0D0E2B05">
              <w:rPr>
                <w:b w:val="1"/>
                <w:bCs w:val="1"/>
                <w:color w:val="1F1F1F"/>
              </w:rPr>
              <w:t>減衰率 (Attenuation)</w:t>
            </w:r>
          </w:p>
        </w:tc>
        <w:tc>
          <w:tcPr>
            <w:tcW w:w="32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0E2B05" w:rsidP="0D0E2B05" w:rsidRDefault="0D0E2B05" w14:paraId="4997ED5C" w14:textId="36B592D7">
            <w:pPr>
              <w:bidi w:val="0"/>
              <w:spacing w:before="0" w:beforeAutospacing="off" w:after="0" w:afterAutospacing="off"/>
            </w:pPr>
            <w:r w:rsidRPr="0D0E2B05" w:rsidR="0D0E2B05">
              <w:rPr>
                <w:color w:val="1F1F1F"/>
              </w:rPr>
              <w:t>-20dB ～ -40dB (標準的 / Standard)</w:t>
            </w:r>
          </w:p>
        </w:tc>
        <w:tc>
          <w:tcPr>
            <w:tcW w:w="38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0D0E2B05" w:rsidP="0D0E2B05" w:rsidRDefault="0D0E2B05" w14:paraId="16CB3780" w14:textId="3CDBB433">
            <w:pPr>
              <w:bidi w:val="0"/>
              <w:spacing w:before="0" w:beforeAutospacing="off" w:after="0" w:afterAutospacing="off"/>
            </w:pPr>
            <w:r w:rsidRPr="0D0E2B05" w:rsidR="0D0E2B05">
              <w:rPr>
                <w:b w:val="1"/>
                <w:bCs w:val="1"/>
                <w:color w:val="1F1F1F"/>
              </w:rPr>
              <w:t>-60dB ～ -90dB+ (圧密効果 / Compression Effect)</w:t>
            </w:r>
          </w:p>
        </w:tc>
      </w:tr>
      <w:tr w:rsidR="0D0E2B05" w:rsidTr="0D0E2B05" w14:paraId="2D10165B">
        <w:trPr>
          <w:trHeight w:val="300"/>
        </w:trPr>
        <w:tc>
          <w:tcPr>
            <w:tcW w:w="19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0E2B05" w:rsidP="0D0E2B05" w:rsidRDefault="0D0E2B05" w14:paraId="4B483459" w14:textId="1369FFDC">
            <w:pPr>
              <w:bidi w:val="0"/>
              <w:spacing w:before="0" w:beforeAutospacing="off" w:after="0" w:afterAutospacing="off"/>
            </w:pPr>
            <w:r w:rsidRPr="0D0E2B05" w:rsidR="0D0E2B05">
              <w:rPr>
                <w:b w:val="1"/>
                <w:bCs w:val="1"/>
                <w:color w:val="1F1F1F"/>
              </w:rPr>
              <w:t>耐熱性 (Heat Resistance)</w:t>
            </w:r>
          </w:p>
        </w:tc>
        <w:tc>
          <w:tcPr>
            <w:tcW w:w="32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0E2B05" w:rsidP="0D0E2B05" w:rsidRDefault="0D0E2B05" w14:paraId="5C0B2926" w14:textId="2370EADD">
            <w:pPr>
              <w:bidi w:val="0"/>
              <w:spacing w:before="0" w:beforeAutospacing="off" w:after="0" w:afterAutospacing="off"/>
            </w:pPr>
            <w:r w:rsidRPr="0D0E2B05" w:rsidR="0D0E2B05">
              <w:rPr>
                <w:color w:val="1F1F1F"/>
              </w:rPr>
              <w:t>樹脂劣化、熱に弱い (Low Resistance)</w:t>
            </w:r>
          </w:p>
        </w:tc>
        <w:tc>
          <w:tcPr>
            <w:tcW w:w="38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0D0E2B05" w:rsidP="0D0E2B05" w:rsidRDefault="0D0E2B05" w14:paraId="124D4ED7" w14:textId="43C94DAC">
            <w:pPr>
              <w:bidi w:val="0"/>
              <w:spacing w:before="0" w:beforeAutospacing="off" w:after="0" w:afterAutospacing="off"/>
            </w:pPr>
            <w:r w:rsidRPr="0D0E2B05" w:rsidR="0D0E2B05">
              <w:rPr>
                <w:b w:val="1"/>
                <w:bCs w:val="1"/>
                <w:color w:val="1F1F1F"/>
              </w:rPr>
              <w:t>超耐熱・準不燃 (270℃+ 安定 / Ultra-Stable)</w:t>
            </w:r>
          </w:p>
        </w:tc>
      </w:tr>
      <w:tr w:rsidR="0D0E2B05" w:rsidTr="0D0E2B05" w14:paraId="091F94E9">
        <w:trPr>
          <w:trHeight w:val="300"/>
        </w:trPr>
        <w:tc>
          <w:tcPr>
            <w:tcW w:w="19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0E2B05" w:rsidP="0D0E2B05" w:rsidRDefault="0D0E2B05" w14:paraId="2B7226B3" w14:textId="0CD0C94A">
            <w:pPr>
              <w:bidi w:val="0"/>
              <w:spacing w:before="0" w:beforeAutospacing="off" w:after="0" w:afterAutospacing="off"/>
            </w:pPr>
            <w:r w:rsidRPr="0D0E2B05" w:rsidR="0D0E2B05">
              <w:rPr>
                <w:b w:val="1"/>
                <w:bCs w:val="1"/>
                <w:color w:val="1F1F1F"/>
              </w:rPr>
              <w:t>材料コスト (Cost)</w:t>
            </w:r>
          </w:p>
        </w:tc>
        <w:tc>
          <w:tcPr>
            <w:tcW w:w="32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0E2B05" w:rsidP="0D0E2B05" w:rsidRDefault="0D0E2B05" w14:paraId="433689E0" w14:textId="7ADC7742">
            <w:pPr>
              <w:bidi w:val="0"/>
              <w:spacing w:before="0" w:beforeAutospacing="off" w:after="0" w:afterAutospacing="off"/>
            </w:pPr>
            <w:r w:rsidRPr="0D0E2B05" w:rsidR="0D0E2B05">
              <w:rPr>
                <w:color w:val="1F1F1F"/>
              </w:rPr>
              <w:t>高価な希土類や加工費 (High Cost)</w:t>
            </w:r>
          </w:p>
        </w:tc>
        <w:tc>
          <w:tcPr>
            <w:tcW w:w="38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0D0E2B05" w:rsidP="0D0E2B05" w:rsidRDefault="0D0E2B05" w14:paraId="3D594205" w14:textId="32DB9E27">
            <w:pPr>
              <w:bidi w:val="0"/>
              <w:spacing w:before="0" w:beforeAutospacing="off" w:after="0" w:afterAutospacing="off"/>
            </w:pPr>
            <w:r w:rsidRPr="0D0E2B05" w:rsidR="0D0E2B05">
              <w:rPr>
                <w:b w:val="1"/>
                <w:bCs w:val="1"/>
                <w:color w:val="1F1F1F"/>
              </w:rPr>
              <w:t>極低価格 (汎用品のみ / Low-cost Commodity)</w:t>
            </w:r>
          </w:p>
        </w:tc>
      </w:tr>
      <w:tr w:rsidR="0D0E2B05" w:rsidTr="0D0E2B05" w14:paraId="1C909581">
        <w:trPr>
          <w:trHeight w:val="300"/>
        </w:trPr>
        <w:tc>
          <w:tcPr>
            <w:tcW w:w="19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0E2B05" w:rsidP="0D0E2B05" w:rsidRDefault="0D0E2B05" w14:paraId="7539E122" w14:textId="6827FD60">
            <w:pPr>
              <w:bidi w:val="0"/>
              <w:spacing w:before="0" w:beforeAutospacing="off" w:after="0" w:afterAutospacing="off"/>
            </w:pPr>
            <w:r w:rsidRPr="0D0E2B05" w:rsidR="0D0E2B05">
              <w:rPr>
                <w:b w:val="1"/>
                <w:bCs w:val="1"/>
                <w:color w:val="1F1F1F"/>
              </w:rPr>
              <w:t>環境負荷 (Environment)</w:t>
            </w:r>
          </w:p>
        </w:tc>
        <w:tc>
          <w:tcPr>
            <w:tcW w:w="32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0D0E2B05" w:rsidP="0D0E2B05" w:rsidRDefault="0D0E2B05" w14:paraId="09A83F65" w14:textId="56BF3C57">
            <w:pPr>
              <w:bidi w:val="0"/>
              <w:spacing w:before="0" w:beforeAutospacing="off" w:after="0" w:afterAutospacing="off"/>
            </w:pPr>
            <w:r w:rsidRPr="0D0E2B05" w:rsidR="0D0E2B05">
              <w:rPr>
                <w:color w:val="1F1F1F"/>
              </w:rPr>
              <w:t>鉛やハロゲンの可能性 (Toxic Risk)</w:t>
            </w:r>
          </w:p>
        </w:tc>
        <w:tc>
          <w:tcPr>
            <w:tcW w:w="38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0D0E2B05" w:rsidP="0D0E2B05" w:rsidRDefault="0D0E2B05" w14:paraId="3CFD870D" w14:textId="117217AB">
            <w:pPr>
              <w:bidi w:val="0"/>
              <w:spacing w:before="0" w:beforeAutospacing="off" w:after="0" w:afterAutospacing="off"/>
            </w:pPr>
            <w:r w:rsidRPr="0D0E2B05" w:rsidR="0D0E2B05">
              <w:rPr>
                <w:b w:val="1"/>
                <w:bCs w:val="1"/>
                <w:color w:val="1F1F1F"/>
              </w:rPr>
              <w:t>クリーン (ビスマス・炭素中心 / Clean Design)</w:t>
            </w:r>
          </w:p>
        </w:tc>
      </w:tr>
    </w:tbl>
    <w:p xmlns:wp14="http://schemas.microsoft.com/office/word/2010/wordml" w:rsidP="0D0E2B05" wp14:paraId="609D51E1" wp14:textId="501C330D">
      <w:pPr>
        <w:pStyle w:val="Heading2"/>
        <w:bidi w:val="0"/>
        <w:spacing w:before="0" w:beforeAutospacing="off" w:after="120" w:afterAutospacing="off"/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36"/>
          <w:szCs w:val="36"/>
          <w:lang w:eastAsia="ja-JP"/>
        </w:rPr>
        <w:t>4. 詳細製造工程 / Detailed Manufacturing Process</w:t>
      </w:r>
    </w:p>
    <w:p xmlns:wp14="http://schemas.microsoft.com/office/word/2010/wordml" w:rsidP="0D0E2B05" wp14:paraId="4BBBC687" wp14:textId="64FC6D4A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原材料の調整と完全脱水 (Pre-processing &amp; Dehydration):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シリカ砂と玄武岩を110℃以上で重量変化が0.01g以下になるまで3時間以上予熱。水分を完全に除去し、溶融時の水蒸気爆発を物理的に回避する。 / Pre-heat sand/basalt at 110°C+ until weight change is $&lt; 0.01g$. Eliminate moisture to prevent steam explosions.</w:t>
      </w:r>
    </w:p>
    <w:p xmlns:wp14="http://schemas.microsoft.com/office/word/2010/wordml" w:rsidP="0D0E2B05" wp14:paraId="5CC36516" wp14:textId="7C854EAE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乾式均一撹拌 (Dry Homogenization):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ビスマス、HOPG、SiC、マイカ、BN、重曹を3D撹拌機で15分間混合。粒子の局所的な偏りを無くし、インピーダンスの均一性を確保する。 / Mix all powders in a 3D mixer for 15 min to ensure impedance uniformity.</w:t>
      </w:r>
    </w:p>
    <w:p xmlns:wp14="http://schemas.microsoft.com/office/word/2010/wordml" w:rsidP="0D0E2B05" wp14:paraId="45F84F1E" wp14:textId="7DB74BBC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真空加熱浸透 (Thermal Infiltration):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耐熱強化容器（5%の緩衝帯を確保）に入れ、280℃まで昇温。ビスマスを液体化させ、毛細管現象により全空隙へ浸透させる。 / Heat to 280°C in a reinforced vessel with a 5% buffer zone. Allow molten Bismuth to fill all voids.</w:t>
      </w:r>
    </w:p>
    <w:p xmlns:wp14="http://schemas.microsoft.com/office/word/2010/wordml" w:rsidP="0D0E2B05" wp14:paraId="2499AD19" wp14:textId="6E36B076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【最重要】自己圧密凝固 (Controlled Solidification):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凝固点(271.4℃)直前から</w:t>
      </w: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毎分1.0℃以下の超徐冷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>を行う。ビスマスの</w:t>
      </w: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3.3%体積膨張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を制御し、内部応力を利用して粒子間の導電ネットワークを強制確立（圧密）させる。 / </w:t>
      </w: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Ultra-slow cooling (&lt;1.0°C/min)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from 271.4°C. Harness </w:t>
      </w: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3.3% expansion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to compress particles and lock the conductive network.</w:t>
      </w:r>
    </w:p>
    <w:p xmlns:wp14="http://schemas.microsoft.com/office/word/2010/wordml" w:rsidP="0D0E2B05" wp14:paraId="586BF8A1" wp14:textId="59E8A95F">
      <w:pPr>
        <w:bidi w:val="0"/>
        <w:spacing w:before="0" w:beforeAutospacing="off" w:after="0" w:afterAutospacing="off"/>
      </w:pPr>
    </w:p>
    <w:p xmlns:wp14="http://schemas.microsoft.com/office/word/2010/wordml" w:rsidP="0D0E2B05" wp14:paraId="0087AA27" wp14:textId="454BB7EB">
      <w:pPr>
        <w:pStyle w:val="Heading2"/>
        <w:bidi w:val="0"/>
        <w:spacing w:before="0" w:beforeAutospacing="off" w:after="120" w:afterAutospacing="off"/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36"/>
          <w:szCs w:val="36"/>
          <w:lang w:eastAsia="ja-JP"/>
        </w:rPr>
        <w:t>5. 【全70項目】リスク回避プロトコル / 70-Point Detailed Protocols</w:t>
      </w:r>
    </w:p>
    <w:p xmlns:wp14="http://schemas.microsoft.com/office/word/2010/wordml" w:rsidP="0D0E2B05" wp14:paraId="4314B1F0" wp14:textId="2875AD34">
      <w:pPr>
        <w:pStyle w:val="Heading2"/>
        <w:bidi w:val="0"/>
        <w:spacing w:before="0" w:beforeAutospacing="off" w:after="120" w:afterAutospacing="off"/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36"/>
          <w:szCs w:val="36"/>
          <w:lang w:eastAsia="ja-JP"/>
        </w:rPr>
        <w:t>A. 法的・知財・経済リスク / Legal &amp; Economic (1-15)</w:t>
      </w:r>
    </w:p>
    <w:p xmlns:wp14="http://schemas.microsoft.com/office/word/2010/wordml" w:rsidP="0D0E2B05" wp14:paraId="6DE46682" wp14:textId="1D3332A7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電波法回避 / Radio Law: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受動的シールドに限定し、能動的送信を一切行わない。 / Passive shielding only; no active transmission.</w:t>
      </w:r>
    </w:p>
    <w:p xmlns:wp14="http://schemas.microsoft.com/office/word/2010/wordml" w:rsidP="0D0E2B05" wp14:paraId="6EFC7E39" wp14:textId="6EE8B87A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消防法遵守 / Fire Services: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指定数量以下の可燃性粉末管理を徹底する。 / Manage combustible powders below regulated levels.</w:t>
      </w:r>
    </w:p>
    <w:p xmlns:wp14="http://schemas.microsoft.com/office/word/2010/wordml" w:rsidP="0D0E2B05" wp14:paraId="2D4BDBA4" wp14:textId="7F0145AF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規制監視 / Regulatory Watch: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ビスマスが将来的に環境規制対象にならないか継続監視する。 / Monitor future environmental regulations regarding Bismuth.</w:t>
      </w:r>
    </w:p>
    <w:p xmlns:wp14="http://schemas.microsoft.com/office/word/2010/wordml" w:rsidP="0D0E2B05" wp14:paraId="14757EC4" wp14:textId="585924E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外為法遵守 / Export Control: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HOPG等のリスト規制品の国外移転を厳密に管理する。 / Strictly manage export and transfer of regulated materials.</w:t>
      </w:r>
    </w:p>
    <w:p xmlns:wp14="http://schemas.microsoft.com/office/word/2010/wordml" w:rsidP="0D0E2B05" wp14:paraId="29C1CFBD" wp14:textId="1CBD387C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特許抵触回避 / IP Check: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全世界公開により公知事実化し、企業の特許独占を不可能にする。 / Prevent patent monopoly through global public disclosure.</w:t>
      </w:r>
    </w:p>
    <w:p xmlns:wp14="http://schemas.microsoft.com/office/word/2010/wordml" w:rsidP="0D0E2B05" wp14:paraId="1008ADAF" wp14:textId="3A03B54C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不当表示禁止 / Fair Labeling: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「100%遮蔽」等の虚偽を排し、デシベル数値のみを提示する。 / Use only quantitative dB data; no exaggerated claims.</w:t>
      </w:r>
    </w:p>
    <w:p xmlns:wp14="http://schemas.microsoft.com/office/word/2010/wordml" w:rsidP="0D0E2B05" wp14:paraId="785D0376" wp14:textId="3DCE8853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廃棄物処理 / Waste Disposal: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金属ビスマス含有物として、産業廃棄物適正処理を遵守する。 / Comply with industrial waste standards for metal-containing materials.</w:t>
      </w:r>
    </w:p>
    <w:p xmlns:wp14="http://schemas.microsoft.com/office/word/2010/wordml" w:rsidP="0D0E2B05" wp14:paraId="648FD400" wp14:textId="4E285F89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労働安全 / Labor Safety: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局所排気と高性能DS2マスクにより粉塵吸引を防止する。 / Use local exhaust and DS2 masks to prevent dust inhalation.</w:t>
      </w:r>
    </w:p>
    <w:p xmlns:wp14="http://schemas.microsoft.com/office/word/2010/wordml" w:rsidP="0D0E2B05" wp14:paraId="3EC8777D" wp14:textId="52A72B6D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PL法リスク / Product Liability: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実装者の自己責任であることを、全言語で明文化する。 / Clearly state liability disclaimers for implementers in all languages.</w:t>
      </w:r>
    </w:p>
    <w:p xmlns:wp14="http://schemas.microsoft.com/office/word/2010/wordml" w:rsidP="0D0E2B05" wp14:paraId="6E2B8599" wp14:textId="7DC616D9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化審法遵守 / Chemical Control: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混合工程で新規化学物質が生成されないことを検証・記録する。 / Verify no new chemical substances are synthesized during mixing.</w:t>
      </w:r>
    </w:p>
    <w:p xmlns:wp14="http://schemas.microsoft.com/office/word/2010/wordml" w:rsidP="0D0E2B05" wp14:paraId="29C40578" wp14:textId="1288843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不正アクセス禁止 / Cyber Law: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本技術を他者通信への物理的ハッキングに悪用することを禁ずる。 / Strictly prohibit misuse for physical hacking of communications.</w:t>
      </w:r>
    </w:p>
    <w:p xmlns:wp14="http://schemas.microsoft.com/office/word/2010/wordml" w:rsidP="0D0E2B05" wp14:paraId="51797067" wp14:textId="5F31669C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利益供与排除 / Anti-Corruption: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素材供給元からの不当な利益や便宜の受領を一切拒絶する。 / Reject all financial or preferential offers from suppliers.</w:t>
      </w:r>
    </w:p>
    <w:p xmlns:wp14="http://schemas.microsoft.com/office/word/2010/wordml" w:rsidP="0D0E2B05" wp14:paraId="397B6860" wp14:textId="18FD5B01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不当利得排除 / Fair Pricing: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オープンソースにより、不当な価格高騰や市場独占を阻止する。 / Prevent market monopoly and unfair pricing via open-sourcing.</w:t>
      </w:r>
    </w:p>
    <w:p xmlns:wp14="http://schemas.microsoft.com/office/word/2010/wordml" w:rsidP="0D0E2B05" wp14:paraId="19FAC168" wp14:textId="56B69C35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資金洗浄拒絶 / AML: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プロジェクトに関わる一切の不透明な資金流入を遮断する。 / Block all opaque funding sources related to the project.</w:t>
      </w:r>
    </w:p>
    <w:p xmlns:wp14="http://schemas.microsoft.com/office/word/2010/wordml" w:rsidP="0D0E2B05" wp14:paraId="3B3FBB7B" wp14:textId="62A422DC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商標権確認 / Trademark: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「MCH-2」の名称が他社の登録商標を侵害していないか確認する。 / Verify "MCH-2" does not infringe existing trademarks.</w:t>
      </w:r>
    </w:p>
    <w:p xmlns:wp14="http://schemas.microsoft.com/office/word/2010/wordml" w:rsidP="0D0E2B05" wp14:paraId="4E9B5E0F" wp14:textId="648584DE">
      <w:pPr>
        <w:pStyle w:val="Heading2"/>
        <w:bidi w:val="0"/>
        <w:spacing w:before="0" w:beforeAutospacing="off" w:after="120" w:afterAutospacing="off"/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36"/>
          <w:szCs w:val="36"/>
          <w:lang w:eastAsia="ja-JP"/>
        </w:rPr>
        <w:t>B. 安全・健康管理 / Safety &amp; Health (16-30)</w:t>
      </w:r>
    </w:p>
    <w:p xmlns:wp14="http://schemas.microsoft.com/office/word/2010/wordml" w:rsidP="0D0E2B05" wp14:paraId="341801C6" wp14:textId="5177A9A8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重金属排除 / Lead-Free: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毒性の高い鉛を排除し、ビスマスへの置換により安全性を確保する。 / Ensure safety by replacing toxic Lead with Bismuth.</w:t>
      </w:r>
    </w:p>
    <w:p xmlns:wp14="http://schemas.microsoft.com/office/word/2010/wordml" w:rsidP="0D0E2B05" wp14:paraId="00800FC0" wp14:textId="68DF71BD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防塵防護 / Dust Protection: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微細粉末の飛散を防ぐため、密閉式混合装置を採用する。 / Use sealed mixing equipment to prevent scattering of fine powders.</w:t>
      </w:r>
    </w:p>
    <w:p xmlns:wp14="http://schemas.microsoft.com/office/word/2010/wordml" w:rsidP="0D0E2B05" wp14:paraId="69A0609D" wp14:textId="27B66A48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耐熱保護 / Heat Protection: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280℃の熱源から皮膚を守る耐熱グローブと防具を常用する。 / Wear 280°C-rated safety gear and heat-resistant gloves.</w:t>
      </w:r>
    </w:p>
    <w:p xmlns:wp14="http://schemas.microsoft.com/office/word/2010/wordml" w:rsidP="0D0E2B05" wp14:paraId="195CFC79" wp14:textId="7B8A0E0A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医学表現排除 / No Medical Claims: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健康改善等の疑似科学的・医学的表現を一切排除する。 / Eliminate all medical or "purification" pseudo-scientific claims.</w:t>
      </w:r>
    </w:p>
    <w:p xmlns:wp14="http://schemas.microsoft.com/office/word/2010/wordml" w:rsidP="0D0E2B05" wp14:paraId="5BC17A89" wp14:textId="23B02DE8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換気確保 / Ventilation: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毎時10回以上の換気能力を持つ作業場でのみ製造を行う。 / Manufacture under forced ventilation (10+ changes/hour).</w:t>
      </w:r>
    </w:p>
    <w:p xmlns:wp14="http://schemas.microsoft.com/office/word/2010/wordml" w:rsidP="0D0E2B05" wp14:paraId="5BDE245F" wp14:textId="7C31794E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防爆措置 / Explosion Proof: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微粉末が舞う空間での静電気火花発生を物理的に遮断する。 / Physically block static sparks to prevent powder explosions.</w:t>
      </w:r>
    </w:p>
    <w:p xmlns:wp14="http://schemas.microsoft.com/office/word/2010/wordml" w:rsidP="0D0E2B05" wp14:paraId="3897C10F" wp14:textId="3A310350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静電気対策 / Anti-Static: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全ての金属容器および撹拌機を完全に接地（アース）する。 / Fully ground all metal containers and mixing equipment.</w:t>
      </w:r>
    </w:p>
    <w:p xmlns:wp14="http://schemas.microsoft.com/office/word/2010/wordml" w:rsidP="0D0E2B05" wp14:paraId="5EE0CDC9" wp14:textId="34A5E3B8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接触回避 / Skin Safety: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ビスマス接触による皮膚炎を防ぐため、保護衣を着用する。 / Use protective clothing and gloves to prevent dermatitis.</w:t>
      </w:r>
    </w:p>
    <w:p xmlns:wp14="http://schemas.microsoft.com/office/word/2010/wordml" w:rsidP="0D0E2B05" wp14:paraId="53929EAE" wp14:textId="361C3B09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誤飲防止 / Ingestion Risk: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素材を食品から厳密に隔離し、施錠可能な堅牢容器で保管する。 / Store materials in locked, rugged containers away from food.</w:t>
      </w:r>
    </w:p>
    <w:p xmlns:wp14="http://schemas.microsoft.com/office/word/2010/wordml" w:rsidP="0D0E2B05" wp14:paraId="10E50A9B" wp14:textId="6417C912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SDS保持 / SDS Record: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ビスマス、SiC、HOPG等の安全データシートを常時閲覧可能にする。 / Keep all Material Safety Data Sheets (SDS) accessible on-site.</w:t>
      </w:r>
    </w:p>
    <w:p xmlns:wp14="http://schemas.microsoft.com/office/word/2010/wordml" w:rsidP="0D0E2B05" wp14:paraId="13956329" wp14:textId="6DB2FFBA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熱暴走回避 / Thermal Runaway: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吸波蓄熱容量の限界を計算し、想定外の温度上昇を回避する。 / Calculate EM-to-heat storage limits to prevent overheating.</w:t>
      </w:r>
    </w:p>
    <w:p xmlns:wp14="http://schemas.microsoft.com/office/word/2010/wordml" w:rsidP="0D0E2B05" wp14:paraId="03055918" wp14:textId="032A3DA4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混合熱警戒 / Reaction Heat: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重曹の熱分解に伴う熱力学的変化を常時モニタリングする。 / Continuously monitor heat changes from Bicarb decomposition.</w:t>
      </w:r>
    </w:p>
    <w:p xmlns:wp14="http://schemas.microsoft.com/office/word/2010/wordml" w:rsidP="0D0E2B05" wp14:paraId="5ABB0B84" wp14:textId="7E686D7A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飛散遮断 / Contamination: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搬送時はビスマス漏出を防ぐ三重構造の密閉容器を使用する。 / Use triple-layered sealed containers for transport.</w:t>
      </w:r>
    </w:p>
    <w:p xmlns:wp14="http://schemas.microsoft.com/office/word/2010/wordml" w:rsidP="0D0E2B05" wp14:paraId="0F93B47C" wp14:textId="70D0169F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緊急撤去 / Emergency Removal: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安全上の要請に対し、即座に分解回収可能な設計を維持する。 / Design for rapid disassembly and recovery upon safety requests.</w:t>
      </w:r>
    </w:p>
    <w:p xmlns:wp14="http://schemas.microsoft.com/office/word/2010/wordml" w:rsidP="0D0E2B05" wp14:paraId="36E92B6D" wp14:textId="439D346F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最終責任 / Human Responsibility: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全ての物理的事象に対する最終責任は実装者が負う。 / The individual implementer bears all liability for physical events.</w:t>
      </w:r>
    </w:p>
    <w:p xmlns:wp14="http://schemas.microsoft.com/office/word/2010/wordml" w:rsidP="0D0E2B05" wp14:paraId="116E651F" wp14:textId="1DA357DB">
      <w:pPr>
        <w:pStyle w:val="Heading2"/>
        <w:bidi w:val="0"/>
        <w:spacing w:before="0" w:beforeAutospacing="off" w:after="120" w:afterAutospacing="off"/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36"/>
          <w:szCs w:val="36"/>
          <w:lang w:eastAsia="ja-JP"/>
        </w:rPr>
        <w:t>C. 化学・物理的安定性 / Stability (31-45)</w:t>
      </w:r>
    </w:p>
    <w:p xmlns:wp14="http://schemas.microsoft.com/office/word/2010/wordml" w:rsidP="0D0E2B05" wp14:paraId="715B8ABA" wp14:textId="1C4DBDF0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膨張圧制御 / Expansion Relief: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ビスマスの凝固膨張を逃がす5%の緩衝帯を容器内に配置する。 / Install a 5% buffer zone to absorb Bismuth's solidification expansion.</w:t>
      </w:r>
    </w:p>
    <w:p xmlns:wp14="http://schemas.microsoft.com/office/word/2010/wordml" w:rsidP="0D0E2B05" wp14:paraId="13D1CF23" wp14:textId="7C1B3D7A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完全脱水 / Moisture Removal: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110℃以上の予熱により、水蒸気爆発のリスクを物理的に排除する。 / Pre-heat at 110°C+ to eliminate steam explosion risks.</w:t>
      </w:r>
    </w:p>
    <w:p xmlns:wp14="http://schemas.microsoft.com/office/word/2010/wordml" w:rsidP="0D0E2B05" wp14:paraId="4BE46814" wp14:textId="3C7A52E3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電食抑制 / Corrosion Control: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窒化ホウ素（BN）被覆により、素材間の電位差絶縁を確保する。 / Ensure insulation of potential differences using BN coating.</w:t>
      </w:r>
    </w:p>
    <w:p xmlns:wp14="http://schemas.microsoft.com/office/word/2010/wordml" w:rsidP="0D0E2B05" wp14:paraId="761CE874" wp14:textId="0535151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不燃材料 / Non-flammable: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筐体にはUL94 V-0規格相当の不燃・自己消火素材を採用する。 / Use UL94 V-0 rated non-flammable or self-extinguishing housing.</w:t>
      </w:r>
    </w:p>
    <w:p xmlns:wp14="http://schemas.microsoft.com/office/word/2010/wordml" w:rsidP="0D0E2B05" wp14:paraId="169DBF69" wp14:textId="2B25C2E5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劣化監視 / Aging Monitor: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酸化によるインピーダンス変化を、毎月の定期測定により観測する。 / Monitor impedance changes from oxidation via monthly measurements.</w:t>
      </w:r>
    </w:p>
    <w:p xmlns:wp14="http://schemas.microsoft.com/office/word/2010/wordml" w:rsidP="0D0E2B05" wp14:paraId="7532C922" wp14:textId="1EE2F35E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異物排除 / Impurity Filter: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シリカ砂から磁性異物を磁力除去し、内部放電を防止する。 / Remove magnetic impurities to prevent internal electrical discharge.</w:t>
      </w:r>
    </w:p>
    <w:p xmlns:wp14="http://schemas.microsoft.com/office/word/2010/wordml" w:rsidP="0D0E2B05" wp14:paraId="07AE8B17" wp14:textId="191DBE5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耐荷重確認 / Weight Support: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高密度ビスマス（密度9.78g/cm³）の荷重に対し、底面強度を確認する。 / Verify floor/container support for high-density Bismuth.</w:t>
      </w:r>
    </w:p>
    <w:p xmlns:wp14="http://schemas.microsoft.com/office/word/2010/wordml" w:rsidP="0D0E2B05" wp14:paraId="3A544187" wp14:textId="45C55131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容器検証 / Chemical Resistance: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溶融ビスマスおよび分解触媒に対する容器の耐食性を検証する。 / Verify container resistance to molten Bismuth and catalysts.</w:t>
      </w:r>
    </w:p>
    <w:p xmlns:wp14="http://schemas.microsoft.com/office/word/2010/wordml" w:rsidP="0D0E2B05" wp14:paraId="5775F922" wp14:textId="38D90D25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電波干渉回避 / EMI Record: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設置前後のスペアナ記録を保持し、公共通信の維持を証明する。 / Keep Spectrum Analyzer logs to prove public communication integrity.</w:t>
      </w:r>
    </w:p>
    <w:p xmlns:wp14="http://schemas.microsoft.com/office/word/2010/wordml" w:rsidP="0D0E2B05" wp14:paraId="37C9F494" wp14:textId="2ED12457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絶縁距離 / Insulation: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雷撃や誘導電流を防ぐため、高圧線から規定の絶縁距離を保つ。 / Maintain insulation distance from high-voltage lines.</w:t>
      </w:r>
    </w:p>
    <w:p xmlns:wp14="http://schemas.microsoft.com/office/word/2010/wordml" w:rsidP="0D0E2B05" wp14:paraId="6473F4D8" wp14:textId="1E29792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吸湿抑制 / Humidity Control: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マイカの潮解を防ぐため、防湿梱包または樹脂封止を徹底する。 / Ensure moisture-proof sealing or resin potting for mica.</w:t>
      </w:r>
    </w:p>
    <w:p xmlns:wp14="http://schemas.microsoft.com/office/word/2010/wordml" w:rsidP="0D0E2B05" wp14:paraId="5A2403AE" wp14:textId="3749FC91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振動分級防止 / Anti-Segregation: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比重差による組成分離を防ぐため、固化による固定を行う。 / Prevent segregation via solidification to lock material distribution.</w:t>
      </w:r>
    </w:p>
    <w:p xmlns:wp14="http://schemas.microsoft.com/office/word/2010/wordml" w:rsidP="0D0E2B05" wp14:paraId="6B44F027" wp14:textId="0FB0EDAC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磁性飽和 / Magnetic Saturation: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強磁界下でのビスマスの反磁性特性の変化を計算値に織り込む。 / Account for changes in Bismuth's diamagnetism under strong fields.</w:t>
      </w:r>
    </w:p>
    <w:p xmlns:wp14="http://schemas.microsoft.com/office/word/2010/wordml" w:rsidP="0D0E2B05" wp14:paraId="0D091360" wp14:textId="4DC1C1E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内圧回避 / Pressure Relief: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ガス放出を妨げない透過性防水弁を容器に設置する。 / Install breathable waterproof valves for internal gas release.</w:t>
      </w:r>
    </w:p>
    <w:p xmlns:wp14="http://schemas.microsoft.com/office/word/2010/wordml" w:rsidP="0D0E2B05" wp14:paraId="20E5F066" wp14:textId="1BE224FE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素材刻印 / Material Marking: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廃棄時の誤認を防ぐため、組成成分を物理的に刻印する。 / Physically mark the composition to prevent disposal errors.</w:t>
      </w:r>
    </w:p>
    <w:p xmlns:wp14="http://schemas.microsoft.com/office/word/2010/wordml" w:rsidP="0D0E2B05" wp14:paraId="17572059" wp14:textId="0BF8586D">
      <w:pPr>
        <w:pStyle w:val="Heading2"/>
        <w:bidi w:val="0"/>
        <w:spacing w:before="0" w:beforeAutospacing="off" w:after="120" w:afterAutospacing="off"/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36"/>
          <w:szCs w:val="36"/>
          <w:lang w:eastAsia="ja-JP"/>
        </w:rPr>
        <w:t>D. 環境・倫理・社会 / Ethics &amp; Society (46-55)</w:t>
      </w:r>
    </w:p>
    <w:p xmlns:wp14="http://schemas.microsoft.com/office/word/2010/wordml" w:rsidP="0D0E2B05" wp14:paraId="11E99FFF" wp14:textId="686121BE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平和利用 / Peaceful Use: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他者の通信を不当に阻害する等の攻撃的転用を永久に禁ずる。 / Permanently prohibit offensive use or communication disruption.</w:t>
      </w:r>
    </w:p>
    <w:p xmlns:wp14="http://schemas.microsoft.com/office/word/2010/wordml" w:rsidP="0D0E2B05" wp14:paraId="50F42E14" wp14:textId="4AC37A20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神秘化禁止 / Anti-Mysticism: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神秘表現を排し、全てを物理・量子力学的根拠で説明する。 / Explain only through physical or quantum mechanical evidence.</w:t>
      </w:r>
    </w:p>
    <w:p xmlns:wp14="http://schemas.microsoft.com/office/word/2010/wordml" w:rsidP="0D0E2B05" wp14:paraId="2BCB5850" wp14:textId="07C588C8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権利共有 / Copyleft: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改良された製造法や配合は、同一ライセンスで全世界に公開する。 / Share any improved methods under the same license terms globally.</w:t>
      </w:r>
    </w:p>
    <w:p xmlns:wp14="http://schemas.microsoft.com/office/word/2010/wordml" w:rsidP="0D0E2B05" wp14:paraId="76178BB0" wp14:textId="4C51E50D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主権尊重 / Respect Sovereignty: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私有地や公共施設への無断設置、干渉行為を厳禁する。 / Strictly prohibit unauthorized placement on any private/public lands.</w:t>
      </w:r>
    </w:p>
    <w:p xmlns:wp14="http://schemas.microsoft.com/office/word/2010/wordml" w:rsidP="0D0E2B05" wp14:paraId="19EC28AD" wp14:textId="1F3E14DB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透明性 / Data Transparency: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容器破損等の失敗データセットを隠蔽せず全て共有する。 / Share all failure data, such as container cracks, without hiding.</w:t>
      </w:r>
    </w:p>
    <w:p xmlns:wp14="http://schemas.microsoft.com/office/word/2010/wordml" w:rsidP="0D0E2B05" wp14:paraId="031E84E6" wp14:textId="6BC30B5A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騒音遵守 / Noise Control: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製造時における振動および騒音の公害防止に努める。 / Prevent vibration and noise pollution during the manufacturing process.</w:t>
      </w:r>
    </w:p>
    <w:p xmlns:wp14="http://schemas.microsoft.com/office/word/2010/wordml" w:rsidP="0D0E2B05" wp14:paraId="0E18633A" wp14:textId="262A5F3C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循環型修理 / Circular Repair: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破損時は再加熱による再結合が可能なサステナブル設計とする。 / Design for sustainable repair through re-heating and re-bonding.</w:t>
      </w:r>
    </w:p>
    <w:p xmlns:wp14="http://schemas.microsoft.com/office/word/2010/wordml" w:rsidP="0D0E2B05" wp14:paraId="1FF93605" wp14:textId="19694399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教育安全 / Educational Safety: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未成年者が模倣する際のリスク告知と指導を徹底する。 / Ensure thorough risk warnings and guidance for educational use.</w:t>
      </w:r>
    </w:p>
    <w:p xmlns:wp14="http://schemas.microsoft.com/office/word/2010/wordml" w:rsidP="0D0E2B05" wp14:paraId="6C352E8C" wp14:textId="6DBBA0F0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持続可能性 / Sustainability: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紛争鉱物を使用しないクリーンなサプライチェーンを優先する。 / Prioritize clean, conflict-free material supply chains.</w:t>
      </w:r>
    </w:p>
    <w:p xmlns:wp14="http://schemas.microsoft.com/office/word/2010/wordml" w:rsidP="0D0E2B05" wp14:paraId="7EAB67AB" wp14:textId="0FC48BFC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偽情報防止 / Anti-Misinformation: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実測に基づかない誇大表現を排し、誠実なデータのみを語る。 / Strictly eliminate exaggerated claims; use only verified data.</w:t>
      </w:r>
    </w:p>
    <w:p xmlns:wp14="http://schemas.microsoft.com/office/word/2010/wordml" w:rsidP="0D0E2B05" wp14:paraId="24339048" wp14:textId="54364C0D">
      <w:pPr>
        <w:pStyle w:val="Heading2"/>
        <w:bidi w:val="0"/>
        <w:spacing w:before="0" w:beforeAutospacing="off" w:after="120" w:afterAutospacing="off"/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36"/>
          <w:szCs w:val="36"/>
          <w:lang w:eastAsia="ja-JP"/>
        </w:rPr>
        <w:t>E. 製造・技術精度 / Precision (56-65)</w:t>
      </w:r>
    </w:p>
    <w:p xmlns:wp14="http://schemas.microsoft.com/office/word/2010/wordml" w:rsidP="0D0E2B05" wp14:paraId="58A8CD89" wp14:textId="714ED1B8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照合 / Simulation Match: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複素透磁率の理論計算値と実測値の統計的照合を行う。 / Verify match between theoretical simulation and actual measurements.</w:t>
      </w:r>
    </w:p>
    <w:p xmlns:wp14="http://schemas.microsoft.com/office/word/2010/wordml" w:rsidP="0D0E2B05" wp14:paraId="389B42AC" wp14:textId="17BF76AE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均一化 / Homogenization: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ビスマスの沈殿を防ぐため、凝固直前まで定速撹拌を維持する。 / Maintain mixing until solidification to prevent Bismuth settling.</w:t>
      </w:r>
    </w:p>
    <w:p xmlns:wp14="http://schemas.microsoft.com/office/word/2010/wordml" w:rsidP="0D0E2B05" wp14:paraId="126FE1E9" wp14:textId="48C51FF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表面管理 / Surface Control: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乱反射を制御するため、表面の粗さを幾何学的に管理する。 / Geometrically manage surface roughness to control EM scattering.</w:t>
      </w:r>
    </w:p>
    <w:p xmlns:wp14="http://schemas.microsoft.com/office/word/2010/wordml" w:rsidP="0D0E2B05" wp14:paraId="32B537FA" wp14:textId="3D093E31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純度確保 / Purity: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局所発熱を防ぐため、純度4N(99.99%)以上のビスマスを使用する。 / Use 4N (99.99%) or higher Bismuth to prevent local hot spots.</w:t>
      </w:r>
    </w:p>
    <w:p xmlns:wp14="http://schemas.microsoft.com/office/word/2010/wordml" w:rsidP="0D0E2B05" wp14:paraId="499C7D28" wp14:textId="53E01DFA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配向制御 / Orientation: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成形時の重力および磁界により、グラファイトを最適配向させる。 / Use gravity and magnetic fields to align graphite optimally.</w:t>
      </w:r>
    </w:p>
    <w:p xmlns:wp14="http://schemas.microsoft.com/office/word/2010/wordml" w:rsidP="0D0E2B05" wp14:paraId="786ABE45" wp14:textId="3D0A2B5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脱水数値化 / Dehydration Data: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予熱後の重量変化を0.01g単位で数値化し記録する。 / Quantify and record post-heating weight change at 0.01g precision.</w:t>
      </w:r>
    </w:p>
    <w:p xmlns:wp14="http://schemas.microsoft.com/office/word/2010/wordml" w:rsidP="0D0E2B05" wp14:paraId="77906C5A" wp14:textId="24E01CD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密度測定 / Density Measurement: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理論密度に対する実測密度の比（相対密度）を算出し記録する。 / Calculate and record relative density vs theoretical limits.</w:t>
      </w:r>
    </w:p>
    <w:p xmlns:wp14="http://schemas.microsoft.com/office/word/2010/wordml" w:rsidP="0D0E2B05" wp14:paraId="5A1090E5" wp14:textId="3ADF94F4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物理検証 / Absorption Validation: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スペアナを用いて、透過損失(dB)を定量的に実測検証する。 / Quantify transmission loss (dB) via Spectrum Analyzer validation.</w:t>
      </w:r>
    </w:p>
    <w:p xmlns:wp14="http://schemas.microsoft.com/office/word/2010/wordml" w:rsidP="0D0E2B05" wp14:paraId="3A5E875A" wp14:textId="76363EE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長期観測 / Observation: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36ヶ月間にわたり、経時的なクラック発生の有無を監視する。 / Monitor for cracks and aging effects over a 36-month period.</w:t>
      </w:r>
    </w:p>
    <w:p xmlns:wp14="http://schemas.microsoft.com/office/word/2010/wordml" w:rsidP="0D0E2B05" wp14:paraId="4D310BEA" wp14:textId="2606E77A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MVP実装 / Phased MVP: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100g単位の試験で挙動を把握してから、キログラム級へ移行する。 / Build 100g MVPs to understand behavior before scaling up.</w:t>
      </w:r>
    </w:p>
    <w:p xmlns:wp14="http://schemas.microsoft.com/office/word/2010/wordml" w:rsidP="0D0E2B05" wp14:paraId="3F6E0FE3" wp14:textId="78F8FB08">
      <w:pPr>
        <w:pStyle w:val="Heading2"/>
        <w:bidi w:val="0"/>
        <w:spacing w:before="0" w:beforeAutospacing="off" w:after="120" w:afterAutospacing="off"/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36"/>
          <w:szCs w:val="36"/>
          <w:lang w:eastAsia="ja-JP"/>
        </w:rPr>
        <w:t>F. 運用・情報管理 / Operational (66-70)</w:t>
      </w:r>
    </w:p>
    <w:p xmlns:wp14="http://schemas.microsoft.com/office/word/2010/wordml" w:rsidP="0D0E2B05" wp14:paraId="6412CD9D" wp14:textId="2A5B0F83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電磁接地 / EM Grounding: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筐体電位を安定させ、再放射（EMI）を最小化する。 / Ground the unit to stabilize potential and minimize re-radiation.</w:t>
      </w:r>
    </w:p>
    <w:p xmlns:wp14="http://schemas.microsoft.com/office/word/2010/wordml" w:rsidP="0D0E2B05" wp14:paraId="6B221987" wp14:textId="3F845B78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受動監視 / Passive Monitoring: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非電力型の感温パッチを用い、表面温度を視覚的に監視する。 / Use passive temperature patches to visually monitor surface heat.</w:t>
      </w:r>
    </w:p>
    <w:p xmlns:wp14="http://schemas.microsoft.com/office/word/2010/wordml" w:rsidP="0D0E2B05" wp14:paraId="273E2215" wp14:textId="6FA647DE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科学的誠実性 / Scientific Integrity: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全ての生データを改ざんせず、GitHubに直接コミットする。 / Commit all raw experimental data to GitHub without alteration.</w:t>
      </w:r>
    </w:p>
    <w:p xmlns:wp14="http://schemas.microsoft.com/office/word/2010/wordml" w:rsidP="0D0E2B05" wp14:paraId="4AF3EBC8" wp14:textId="62D86501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名誉放棄 / Waiver of Fame: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技術の自律的普及を優先し、個人名を公にせず匿名性を維持する。 / Prioritize autonomous spread over fame; maintain anonymity.</w:t>
      </w:r>
    </w:p>
    <w:p xmlns:wp14="http://schemas.microsoft.com/office/word/2010/wordml" w:rsidP="0D0E2B05" wp14:paraId="652A39E6" wp14:textId="458202CD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21"/>
          <w:szCs w:val="21"/>
          <w:lang w:eastAsia="ja-JP"/>
        </w:rPr>
        <w:t>動的更新 / Dynamic Updates:</w:t>
      </w: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 xml:space="preserve"> 本70項目は、新たな知見の集積により随時動的に更新する。 / Continuously update these 70 protocols as new data accumulates.</w:t>
      </w:r>
    </w:p>
    <w:p xmlns:wp14="http://schemas.microsoft.com/office/word/2010/wordml" w:rsidP="0D0E2B05" wp14:paraId="795AD919" wp14:textId="523A91BD">
      <w:pPr>
        <w:bidi w:val="0"/>
        <w:spacing w:before="0" w:beforeAutospacing="off" w:after="0" w:afterAutospacing="off"/>
      </w:pPr>
    </w:p>
    <w:p xmlns:wp14="http://schemas.microsoft.com/office/word/2010/wordml" w:rsidP="0D0E2B05" wp14:paraId="7396F3E8" wp14:textId="56DFD7C0">
      <w:pPr>
        <w:pStyle w:val="Heading2"/>
        <w:bidi w:val="0"/>
        <w:spacing w:before="0" w:beforeAutospacing="off" w:after="120" w:afterAutospacing="off"/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36"/>
          <w:szCs w:val="36"/>
          <w:lang w:eastAsia="ja-JP"/>
        </w:rPr>
        <w:t>6. オープンソース・コミュニティへの招待 / Open-Source Invitation</w:t>
      </w:r>
    </w:p>
    <w:p xmlns:wp14="http://schemas.microsoft.com/office/word/2010/wordml" w:rsidP="0D0E2B05" wp14:paraId="34FE1348" wp14:textId="6BC049D9">
      <w:pPr>
        <w:bidi w:val="0"/>
        <w:spacing w:before="0" w:beforeAutospacing="off" w:after="240" w:afterAutospacing="off"/>
      </w:pP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>実証のための最小プロトタイプ (MVP) 指針：まずは100gのサンプルを作成し、280℃の熱浸透および凝固膨張の物理特性を確認せよ。一切の簡略化を排したデータ共有が、本プロジェクトの根幹である。 / MVP Guidelines: Build a 100g sample first; verify the 280°C properties. Transparent data sharing is the foundation of this project.</w:t>
      </w:r>
    </w:p>
    <w:p xmlns:wp14="http://schemas.microsoft.com/office/word/2010/wordml" w:rsidP="0D0E2B05" wp14:paraId="7AA494EA" wp14:textId="3310D4A1">
      <w:pPr>
        <w:pStyle w:val="Heading2"/>
        <w:bidi w:val="0"/>
        <w:spacing w:before="0" w:beforeAutospacing="off" w:after="120" w:afterAutospacing="off"/>
      </w:pPr>
      <w:r w:rsidRPr="0D0E2B05" w:rsidR="103B872F">
        <w:rPr>
          <w:rFonts w:ascii="Yu Mincho Regular" w:hAnsi="Yu Mincho Regular" w:eastAsia="Yu Mincho Regular" w:cs="Yu Mincho Regular"/>
          <w:b w:val="1"/>
          <w:bCs w:val="1"/>
          <w:noProof w:val="0"/>
          <w:color w:val="1F1F1F"/>
          <w:sz w:val="36"/>
          <w:szCs w:val="36"/>
          <w:lang w:eastAsia="ja-JP"/>
        </w:rPr>
        <w:t>7. 免責事項 / Final Disclaimer</w:t>
      </w:r>
    </w:p>
    <w:p xmlns:wp14="http://schemas.microsoft.com/office/word/2010/wordml" w:rsidP="0D0E2B05" wp14:paraId="29F89D00" wp14:textId="057CF5B8">
      <w:pPr>
        <w:bidi w:val="0"/>
        <w:spacing w:before="0" w:beforeAutospacing="off" w:after="240" w:afterAutospacing="off"/>
      </w:pPr>
      <w:r w:rsidRPr="0D0E2B05" w:rsidR="103B872F">
        <w:rPr>
          <w:rFonts w:ascii="Yu Mincho Regular" w:hAnsi="Yu Mincho Regular" w:eastAsia="Yu Mincho Regular" w:cs="Yu Mincho Regular"/>
          <w:noProof w:val="0"/>
          <w:color w:val="1F1F1F"/>
          <w:sz w:val="21"/>
          <w:szCs w:val="21"/>
          <w:lang w:eastAsia="ja-JP"/>
        </w:rPr>
        <w:t>本文書は理論予測であり、実測データは存在しない。実装は自己責任である。 / Theoretical simulation only; no empirical data. Implementation is at the user's risk.</w:t>
      </w:r>
    </w:p>
    <w:p xmlns:wp14="http://schemas.microsoft.com/office/word/2010/wordml" w:rsidP="0D0E2B05" wp14:paraId="1947CF0C" wp14:textId="7D502D93">
      <w:pPr>
        <w:bidi w:val="0"/>
        <w:spacing w:before="0" w:beforeAutospacing="off" w:after="0" w:afterAutospacing="off"/>
      </w:pPr>
    </w:p>
    <w:p xmlns:wp14="http://schemas.microsoft.com/office/word/2010/wordml" wp14:paraId="5BADD4ED" wp14:textId="43353B71"/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20f78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b2d9788"/>
    <w:multiLevelType xmlns:w="http://schemas.openxmlformats.org/wordprocessingml/2006/main" w:val="hybridMultilevel"/>
    <w:lvl xmlns:w="http://schemas.openxmlformats.org/wordprocessingml/2006/main" w:ilvl="0">
      <w:start w:val="66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xmlns:w="http://schemas.openxmlformats.org/wordprocessingml/2006/main" w:abstractNumId="7">
    <w:nsid w:val="40cc7e07"/>
    <w:multiLevelType xmlns:w="http://schemas.openxmlformats.org/wordprocessingml/2006/main" w:val="hybridMultilevel"/>
    <w:lvl xmlns:w="http://schemas.openxmlformats.org/wordprocessingml/2006/main" w:ilvl="0">
      <w:start w:val="56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xmlns:w="http://schemas.openxmlformats.org/wordprocessingml/2006/main" w:abstractNumId="6">
    <w:nsid w:val="5deef7ce"/>
    <w:multiLevelType xmlns:w="http://schemas.openxmlformats.org/wordprocessingml/2006/main" w:val="hybridMultilevel"/>
    <w:lvl xmlns:w="http://schemas.openxmlformats.org/wordprocessingml/2006/main" w:ilvl="0">
      <w:start w:val="46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xmlns:w="http://schemas.openxmlformats.org/wordprocessingml/2006/main" w:abstractNumId="5">
    <w:nsid w:val="19b82b39"/>
    <w:multiLevelType xmlns:w="http://schemas.openxmlformats.org/wordprocessingml/2006/main" w:val="hybridMultilevel"/>
    <w:lvl xmlns:w="http://schemas.openxmlformats.org/wordprocessingml/2006/main" w:ilvl="0">
      <w:start w:val="3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xmlns:w="http://schemas.openxmlformats.org/wordprocessingml/2006/main" w:abstractNumId="4">
    <w:nsid w:val="6b735396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xmlns:w="http://schemas.openxmlformats.org/wordprocessingml/2006/main" w:abstractNumId="3">
    <w:nsid w:val="5a4241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xmlns:w="http://schemas.openxmlformats.org/wordprocessingml/2006/main" w:abstractNumId="2">
    <w:nsid w:val="72724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xmlns:w="http://schemas.openxmlformats.org/wordprocessingml/2006/main" w:abstractNumId="1">
    <w:nsid w:val="43c0fc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8A95D8"/>
    <w:rsid w:val="0D0E2B05"/>
    <w:rsid w:val="103B872F"/>
    <w:rsid w:val="16654BA1"/>
    <w:rsid w:val="258A95D8"/>
    <w:rsid w:val="43FC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6654BA1"/>
  <w15:chartTrackingRefBased/>
  <w15:docId w15:val="{3EC4F89C-FA63-43F7-8591-1D9ED47A47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6cbd05dbf43447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2026-03-26T08:25:48.3730461Z</dcterms:created>
  <dcterms:modified xsi:type="dcterms:W3CDTF">2026-03-26T08:27:08.9722496Z</dcterms:modified>
  <dc:creator>イブ 時祭</dc:creator>
  <lastModifiedBy>イブ 時祭</lastModifiedBy>
</coreProperties>
</file>