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A53EED" wp14:paraId="6C83B642" wp14:textId="3679F321">
      <w:pPr>
        <w:spacing w:before="0" w:beforeAutospacing="off" w:after="0" w:afterAutospacing="off"/>
      </w:pPr>
    </w:p>
    <w:p xmlns:wp14="http://schemas.microsoft.com/office/word/2010/wordml" w:rsidP="49A53EED" wp14:paraId="7584CA10" wp14:textId="1AD0C97B">
      <w:pPr>
        <w:pStyle w:val="Heading1"/>
        <w:spacing w:before="0" w:beforeAutospacing="off" w:after="120" w:afterAutospacing="off"/>
      </w:pPr>
      <w:r w:rsidRPr="49A53EED" w:rsidR="0D03BF23">
        <w:rPr>
          <w:rFonts w:ascii="Yu Mincho Regular" w:hAnsi="Yu Mincho Regular" w:eastAsia="Yu Mincho Regular" w:cs="Yu Mincho Regular"/>
          <w:b w:val="1"/>
          <w:bCs w:val="1"/>
          <w:noProof w:val="0"/>
          <w:color w:val="1F1F1F"/>
          <w:sz w:val="48"/>
          <w:szCs w:val="48"/>
          <w:lang w:eastAsia="ja-JP"/>
        </w:rPr>
        <w:t>野菜重ね煮ブラッシュアップ仕様書 (Ver. 26.0)</w:t>
      </w:r>
    </w:p>
    <w:p xmlns:wp14="http://schemas.microsoft.com/office/word/2010/wordml" w:rsidP="49A53EED" wp14:paraId="5050BE60" wp14:textId="7C0A33DC">
      <w:pPr>
        <w:pStyle w:val="Heading1"/>
        <w:spacing w:before="0" w:beforeAutospacing="off" w:after="120" w:afterAutospacing="off"/>
      </w:pPr>
      <w:r w:rsidRPr="49A53EED" w:rsidR="0D03BF23">
        <w:rPr>
          <w:rFonts w:ascii="Yu Mincho Regular" w:hAnsi="Yu Mincho Regular" w:eastAsia="Yu Mincho Regular" w:cs="Yu Mincho Regular"/>
          <w:b w:val="1"/>
          <w:bCs w:val="1"/>
          <w:noProof w:val="0"/>
          <w:color w:val="1F1F1F"/>
          <w:sz w:val="48"/>
          <w:szCs w:val="48"/>
          <w:lang w:eastAsia="ja-JP"/>
        </w:rPr>
        <w:t>Technical Specification: Refined Layered Extraction Protocol (Ver. 26.0)</w:t>
      </w:r>
    </w:p>
    <w:p xmlns:wp14="http://schemas.microsoft.com/office/word/2010/wordml" w:rsidP="49A53EED" wp14:paraId="6E9763A1" wp14:textId="168FD9A2">
      <w:pPr>
        <w:pStyle w:val="Heading2"/>
        <w:spacing w:before="0" w:beforeAutospacing="off" w:after="120" w:afterAutospacing="off"/>
      </w:pPr>
      <w:r w:rsidRPr="49A53EED" w:rsidR="0D03BF23">
        <w:rPr>
          <w:rFonts w:ascii="Yu Mincho Regular" w:hAnsi="Yu Mincho Regular" w:eastAsia="Yu Mincho Regular" w:cs="Yu Mincho Regular"/>
          <w:b w:val="1"/>
          <w:bCs w:val="1"/>
          <w:noProof w:val="0"/>
          <w:color w:val="1F1F1F"/>
          <w:sz w:val="36"/>
          <w:szCs w:val="36"/>
          <w:lang w:eastAsia="ja-JP"/>
        </w:rPr>
        <w:t>1. 前文 (Preamble)</w:t>
      </w:r>
    </w:p>
    <w:p xmlns:wp14="http://schemas.microsoft.com/office/word/2010/wordml" w:rsidP="49A53EED" wp14:paraId="3DC81455" wp14:textId="7DA36AAF">
      <w:pPr>
        <w:spacing w:before="0" w:beforeAutospacing="off" w:after="240" w:afterAutospacing="off"/>
      </w:pPr>
      <w:r w:rsidRPr="49A53EED" w:rsidR="0D03BF23">
        <w:rPr>
          <w:rFonts w:ascii="Yu Mincho Regular" w:hAnsi="Yu Mincho Regular" w:eastAsia="Yu Mincho Regular" w:cs="Yu Mincho Regular"/>
          <w:noProof w:val="0"/>
          <w:color w:val="1F1F1F"/>
          <w:sz w:val="21"/>
          <w:szCs w:val="21"/>
          <w:lang w:eastAsia="ja-JP"/>
        </w:rPr>
        <w:t>本仕様書は、伝統的な「野菜重ね煮」を熱力学、酵素学、界面化学、および法理的防衛の観点から再検討し、素材のポテンシャルを理論的限界まで引き出すための工学的指針である。</w:t>
      </w:r>
    </w:p>
    <w:p xmlns:wp14="http://schemas.microsoft.com/office/word/2010/wordml" w:rsidP="49A53EED" wp14:paraId="68BA4E18" wp14:textId="6396B373">
      <w:pPr>
        <w:spacing w:before="0" w:beforeAutospacing="off" w:after="240" w:afterAutospacing="off"/>
      </w:pPr>
      <w:r w:rsidRPr="49A53EED" w:rsidR="0D03BF23">
        <w:rPr>
          <w:rFonts w:ascii="Yu Mincho Regular" w:hAnsi="Yu Mincho Regular" w:eastAsia="Yu Mincho Regular" w:cs="Yu Mincho Regular"/>
          <w:noProof w:val="0"/>
          <w:color w:val="1F1F1F"/>
          <w:sz w:val="21"/>
          <w:szCs w:val="21"/>
          <w:lang w:eastAsia="ja-JP"/>
        </w:rPr>
        <w:t>This specification provides engineering guidelines for redefining traditional "layered vegetable cooking" through thermodynamics, enzymology, interfacial chemistry, and legal defense to maximize material potential to its theoretical limits.</w:t>
      </w:r>
    </w:p>
    <w:p xmlns:wp14="http://schemas.microsoft.com/office/word/2010/wordml" w:rsidP="49A53EED" wp14:paraId="17368A5A" wp14:textId="655E035C">
      <w:pPr>
        <w:spacing w:before="0" w:beforeAutospacing="off" w:after="0" w:afterAutospacing="off"/>
      </w:pPr>
    </w:p>
    <w:p xmlns:wp14="http://schemas.microsoft.com/office/word/2010/wordml" w:rsidP="49A53EED" wp14:paraId="71BFDAF9" wp14:textId="32B13E1B">
      <w:pPr>
        <w:pStyle w:val="Heading2"/>
        <w:spacing w:before="0" w:beforeAutospacing="off" w:after="120" w:afterAutospacing="off"/>
      </w:pPr>
      <w:r w:rsidRPr="49A53EED" w:rsidR="0D03BF23">
        <w:rPr>
          <w:rFonts w:ascii="Yu Mincho Regular" w:hAnsi="Yu Mincho Regular" w:eastAsia="Yu Mincho Regular" w:cs="Yu Mincho Regular"/>
          <w:b w:val="1"/>
          <w:bCs w:val="1"/>
          <w:noProof w:val="0"/>
          <w:color w:val="1F1F1F"/>
          <w:sz w:val="36"/>
          <w:szCs w:val="36"/>
          <w:lang w:eastAsia="ja-JP"/>
        </w:rPr>
        <w:t>2. 垂直積層アルゴリズム：具体的物質による多段pHスイング</w:t>
      </w:r>
    </w:p>
    <w:p xmlns:wp14="http://schemas.microsoft.com/office/word/2010/wordml" w:rsidP="49A53EED" wp14:paraId="0292830B" wp14:textId="63B5A923">
      <w:pPr>
        <w:pStyle w:val="Heading2"/>
        <w:spacing w:before="0" w:beforeAutospacing="off" w:after="120" w:afterAutospacing="off"/>
      </w:pPr>
      <w:r w:rsidRPr="49A53EED" w:rsidR="0D03BF23">
        <w:rPr>
          <w:rFonts w:ascii="Yu Mincho Regular" w:hAnsi="Yu Mincho Regular" w:eastAsia="Yu Mincho Regular" w:cs="Yu Mincho Regular"/>
          <w:b w:val="1"/>
          <w:bCs w:val="1"/>
          <w:noProof w:val="0"/>
          <w:color w:val="1F1F1F"/>
          <w:sz w:val="36"/>
          <w:szCs w:val="36"/>
          <w:lang w:eastAsia="ja-JP"/>
        </w:rPr>
        <w:t>Vertical Stacking Algorithm: Multi-stage pH Swing with Specific Agents</w:t>
      </w:r>
    </w:p>
    <w:tbl>
      <w:tblPr>
        <w:tblStyle w:val="TableNormal"/>
        <w:bidiVisual w:val="0"/>
        <w:tblW w:w="0" w:type="auto"/>
        <w:tblLook w:val="06A0" w:firstRow="1" w:lastRow="0" w:firstColumn="1" w:lastColumn="0" w:noHBand="1" w:noVBand="1"/>
      </w:tblPr>
      <w:tblGrid>
        <w:gridCol w:w="552"/>
        <w:gridCol w:w="2332"/>
        <w:gridCol w:w="6131"/>
      </w:tblGrid>
      <w:tr w:rsidR="49A53EED" w:rsidTr="49A53EED" w14:paraId="29AD8A60">
        <w:trPr>
          <w:trHeight w:val="300"/>
        </w:trPr>
        <w:tc>
          <w:tcPr>
            <w:tcW w:w="552" w:type="dxa"/>
            <w:tcBorders>
              <w:top w:val="single" w:sz="6"/>
              <w:left w:val="single" w:sz="6"/>
              <w:bottom w:val="single" w:sz="6"/>
              <w:right w:val="single" w:sz="6"/>
            </w:tcBorders>
            <w:tcMar>
              <w:top w:w="240" w:type="dxa"/>
              <w:bottom w:w="240" w:type="dxa"/>
              <w:right w:w="180" w:type="dxa"/>
            </w:tcMar>
            <w:vAlign w:val="center"/>
          </w:tcPr>
          <w:p w:rsidR="49A53EED" w:rsidP="49A53EED" w:rsidRDefault="49A53EED" w14:paraId="3B724992" w14:textId="56A5C387">
            <w:pPr>
              <w:spacing w:before="0" w:beforeAutospacing="off" w:after="0" w:afterAutospacing="off"/>
            </w:pPr>
            <w:r w:rsidRPr="49A53EED" w:rsidR="49A53EED">
              <w:rPr>
                <w:b w:val="1"/>
                <w:bCs w:val="1"/>
                <w:color w:val="1F1F1F"/>
              </w:rPr>
              <w:t>層 (Layer)</w:t>
            </w:r>
          </w:p>
        </w:tc>
        <w:tc>
          <w:tcPr>
            <w:tcW w:w="2332" w:type="dxa"/>
            <w:tcBorders>
              <w:top w:val="single" w:sz="6"/>
              <w:left w:val="single" w:sz="6"/>
              <w:bottom w:val="single" w:sz="6"/>
              <w:right w:val="single" w:sz="6"/>
            </w:tcBorders>
            <w:tcMar>
              <w:top w:w="240" w:type="dxa"/>
              <w:bottom w:w="240" w:type="dxa"/>
              <w:right w:w="180" w:type="dxa"/>
            </w:tcMar>
            <w:vAlign w:val="center"/>
          </w:tcPr>
          <w:p w:rsidR="49A53EED" w:rsidP="49A53EED" w:rsidRDefault="49A53EED" w14:paraId="6B87E60E" w14:textId="436E0AA6">
            <w:pPr>
              <w:spacing w:before="0" w:beforeAutospacing="off" w:after="0" w:afterAutospacing="off"/>
            </w:pPr>
            <w:r w:rsidRPr="49A53EED" w:rsidR="49A53EED">
              <w:rPr>
                <w:b w:val="1"/>
                <w:bCs w:val="1"/>
                <w:color w:val="1F1F1F"/>
              </w:rPr>
              <w:t>素材構成 (Components)</w:t>
            </w:r>
          </w:p>
        </w:tc>
        <w:tc>
          <w:tcPr>
            <w:tcW w:w="6131" w:type="dxa"/>
            <w:tcBorders>
              <w:top w:val="single" w:sz="6"/>
              <w:left w:val="single" w:sz="6"/>
              <w:bottom w:val="single" w:sz="6"/>
              <w:right w:val="single" w:sz="6"/>
            </w:tcBorders>
            <w:tcMar>
              <w:top w:w="240" w:type="dxa"/>
              <w:bottom w:w="240" w:type="dxa"/>
            </w:tcMar>
            <w:vAlign w:val="center"/>
          </w:tcPr>
          <w:p w:rsidR="49A53EED" w:rsidP="49A53EED" w:rsidRDefault="49A53EED" w14:paraId="0BCC6153" w14:textId="67F6C7AD">
            <w:pPr>
              <w:spacing w:before="0" w:beforeAutospacing="off" w:after="0" w:afterAutospacing="off"/>
            </w:pPr>
            <w:r w:rsidRPr="49A53EED" w:rsidR="49A53EED">
              <w:rPr>
                <w:b w:val="1"/>
                <w:bCs w:val="1"/>
                <w:color w:val="1F1F1F"/>
              </w:rPr>
              <w:t>工学的役割 / Engineering Rationale</w:t>
            </w:r>
          </w:p>
        </w:tc>
      </w:tr>
      <w:tr w:rsidR="49A53EED" w:rsidTr="49A53EED" w14:paraId="0C4F3893">
        <w:trPr>
          <w:trHeight w:val="300"/>
        </w:trPr>
        <w:tc>
          <w:tcPr>
            <w:tcW w:w="552" w:type="dxa"/>
            <w:tcBorders>
              <w:top w:val="single" w:sz="6"/>
              <w:left w:val="single" w:sz="6"/>
              <w:bottom w:val="single" w:sz="6"/>
              <w:right w:val="single" w:sz="6"/>
            </w:tcBorders>
            <w:tcMar>
              <w:top w:w="240" w:type="dxa"/>
              <w:bottom w:w="240" w:type="dxa"/>
              <w:right w:w="180" w:type="dxa"/>
            </w:tcMar>
            <w:vAlign w:val="center"/>
          </w:tcPr>
          <w:p w:rsidR="49A53EED" w:rsidP="49A53EED" w:rsidRDefault="49A53EED" w14:paraId="3DB9739C" w14:textId="249001B8">
            <w:pPr>
              <w:spacing w:before="0" w:beforeAutospacing="off" w:after="0" w:afterAutospacing="off"/>
            </w:pPr>
            <w:r w:rsidRPr="49A53EED" w:rsidR="49A53EED">
              <w:rPr>
                <w:color w:val="1F1F1F"/>
              </w:rPr>
              <w:t>Layer 5 (Top)</w:t>
            </w:r>
          </w:p>
        </w:tc>
        <w:tc>
          <w:tcPr>
            <w:tcW w:w="2332" w:type="dxa"/>
            <w:tcBorders>
              <w:top w:val="single" w:sz="6"/>
              <w:left w:val="single" w:sz="6"/>
              <w:bottom w:val="single" w:sz="6"/>
              <w:right w:val="single" w:sz="6"/>
            </w:tcBorders>
            <w:tcMar>
              <w:top w:w="240" w:type="dxa"/>
              <w:bottom w:w="240" w:type="dxa"/>
              <w:right w:w="180" w:type="dxa"/>
            </w:tcMar>
            <w:vAlign w:val="center"/>
          </w:tcPr>
          <w:p w:rsidR="49A53EED" w:rsidP="49A53EED" w:rsidRDefault="49A53EED" w14:paraId="38BA23D7" w14:textId="13156844">
            <w:pPr>
              <w:spacing w:before="0" w:beforeAutospacing="off" w:after="0" w:afterAutospacing="off"/>
            </w:pPr>
            <w:r w:rsidRPr="49A53EED" w:rsidR="49A53EED">
              <w:rPr>
                <w:color w:val="1F1F1F"/>
              </w:rPr>
              <w:t>塩・麹・重曹 (Salt, Koji, Sodium Bicarbonate)</w:t>
            </w:r>
          </w:p>
        </w:tc>
        <w:tc>
          <w:tcPr>
            <w:tcW w:w="6131" w:type="dxa"/>
            <w:tcBorders>
              <w:top w:val="single" w:sz="6"/>
              <w:left w:val="single" w:sz="6"/>
              <w:bottom w:val="single" w:sz="6"/>
              <w:right w:val="single" w:sz="6"/>
            </w:tcBorders>
            <w:tcMar>
              <w:top w:w="240" w:type="dxa"/>
              <w:bottom w:w="240" w:type="dxa"/>
            </w:tcMar>
            <w:vAlign w:val="center"/>
          </w:tcPr>
          <w:p w:rsidR="49A53EED" w:rsidP="49A53EED" w:rsidRDefault="49A53EED" w14:paraId="3D58249C" w14:textId="135CFF66">
            <w:pPr>
              <w:spacing w:before="0" w:beforeAutospacing="off" w:after="0" w:afterAutospacing="off"/>
            </w:pPr>
            <w:r w:rsidRPr="49A53EED" w:rsidR="49A53EED">
              <w:rPr>
                <w:color w:val="1F1F1F"/>
              </w:rPr>
              <w:t>【アルカリ注入】重曹（炭酸水素ナトリウム）で細胞壁（ペクチン）を解体し、酵素の道を作る。</w:t>
            </w:r>
          </w:p>
          <w:p w:rsidR="49A53EED" w:rsidP="49A53EED" w:rsidRDefault="49A53EED" w14:paraId="5A5D7305" w14:textId="5EE3B570">
            <w:pPr>
              <w:spacing w:before="0" w:beforeAutospacing="off" w:after="0" w:afterAutospacing="off"/>
            </w:pPr>
          </w:p>
          <w:p w:rsidR="49A53EED" w:rsidP="49A53EED" w:rsidRDefault="49A53EED" w14:paraId="25F077E6" w14:textId="77CB151C">
            <w:pPr>
              <w:spacing w:before="0" w:beforeAutospacing="off" w:after="0" w:afterAutospacing="off"/>
            </w:pPr>
            <w:r w:rsidRPr="49A53EED" w:rsidR="49A53EED">
              <w:rPr>
                <w:color w:val="1F1F1F"/>
              </w:rPr>
              <w:t>[Alkali Injection] Uses sodium bicarbonate to shift pH to alkaline, decomposing cell walls to create "paths" for enzymes.</w:t>
            </w:r>
          </w:p>
        </w:tc>
      </w:tr>
      <w:tr w:rsidR="49A53EED" w:rsidTr="49A53EED" w14:paraId="1921E8AD">
        <w:trPr>
          <w:trHeight w:val="300"/>
        </w:trPr>
        <w:tc>
          <w:tcPr>
            <w:tcW w:w="552" w:type="dxa"/>
            <w:tcBorders>
              <w:top w:val="single" w:sz="6"/>
              <w:left w:val="single" w:sz="6"/>
              <w:bottom w:val="single" w:sz="6"/>
              <w:right w:val="single" w:sz="6"/>
            </w:tcBorders>
            <w:tcMar>
              <w:top w:w="240" w:type="dxa"/>
              <w:bottom w:w="240" w:type="dxa"/>
              <w:right w:w="180" w:type="dxa"/>
            </w:tcMar>
            <w:vAlign w:val="center"/>
          </w:tcPr>
          <w:p w:rsidR="49A53EED" w:rsidP="49A53EED" w:rsidRDefault="49A53EED" w14:paraId="29EB0C79" w14:textId="393905AA">
            <w:pPr>
              <w:spacing w:before="0" w:beforeAutospacing="off" w:after="0" w:afterAutospacing="off"/>
            </w:pPr>
            <w:r w:rsidRPr="49A53EED" w:rsidR="49A53EED">
              <w:rPr>
                <w:color w:val="1F1F1F"/>
              </w:rPr>
              <w:t>Layer 4</w:t>
            </w:r>
          </w:p>
        </w:tc>
        <w:tc>
          <w:tcPr>
            <w:tcW w:w="2332" w:type="dxa"/>
            <w:tcBorders>
              <w:top w:val="single" w:sz="6"/>
              <w:left w:val="single" w:sz="6"/>
              <w:bottom w:val="single" w:sz="6"/>
              <w:right w:val="single" w:sz="6"/>
            </w:tcBorders>
            <w:tcMar>
              <w:top w:w="240" w:type="dxa"/>
              <w:bottom w:w="240" w:type="dxa"/>
              <w:right w:w="180" w:type="dxa"/>
            </w:tcMar>
            <w:vAlign w:val="center"/>
          </w:tcPr>
          <w:p w:rsidR="49A53EED" w:rsidP="49A53EED" w:rsidRDefault="49A53EED" w14:paraId="4B81B5BD" w14:textId="0B4FF51A">
            <w:pPr>
              <w:spacing w:before="0" w:beforeAutospacing="off" w:after="0" w:afterAutospacing="off"/>
            </w:pPr>
            <w:r w:rsidRPr="49A53EED" w:rsidR="49A53EED">
              <w:rPr>
                <w:color w:val="1F1F1F"/>
              </w:rPr>
              <w:t>キャベツ等の葉物 (Leafy Greens e.g. Cabbage)</w:t>
            </w:r>
          </w:p>
        </w:tc>
        <w:tc>
          <w:tcPr>
            <w:tcW w:w="6131" w:type="dxa"/>
            <w:tcBorders>
              <w:top w:val="single" w:sz="6"/>
              <w:left w:val="single" w:sz="6"/>
              <w:bottom w:val="single" w:sz="6"/>
              <w:right w:val="single" w:sz="6"/>
            </w:tcBorders>
            <w:tcMar>
              <w:top w:w="240" w:type="dxa"/>
              <w:bottom w:w="240" w:type="dxa"/>
            </w:tcMar>
            <w:vAlign w:val="center"/>
          </w:tcPr>
          <w:p w:rsidR="49A53EED" w:rsidP="49A53EED" w:rsidRDefault="49A53EED" w14:paraId="4C45393D" w14:textId="4ABB74D1">
            <w:pPr>
              <w:spacing w:before="0" w:beforeAutospacing="off" w:after="0" w:afterAutospacing="off"/>
            </w:pPr>
            <w:r w:rsidRPr="49A53EED" w:rsidR="49A53EED">
              <w:rPr>
                <w:color w:val="1F1F1F"/>
              </w:rPr>
              <w:t>【還流バリア】蒸気をトラップし、結露した旨味とアルカリ剤を再び下層へ戻す「還流冷却器」の役割。</w:t>
            </w:r>
          </w:p>
          <w:p w:rsidR="49A53EED" w:rsidP="49A53EED" w:rsidRDefault="49A53EED" w14:paraId="3D0204FF" w14:textId="138CCB56">
            <w:pPr>
              <w:spacing w:before="0" w:beforeAutospacing="off" w:after="0" w:afterAutospacing="off"/>
            </w:pPr>
          </w:p>
          <w:p w:rsidR="49A53EED" w:rsidP="49A53EED" w:rsidRDefault="49A53EED" w14:paraId="3425CE4E" w14:textId="10556826">
            <w:pPr>
              <w:spacing w:before="0" w:beforeAutospacing="off" w:after="0" w:afterAutospacing="off"/>
            </w:pPr>
            <w:r w:rsidRPr="49A53EED" w:rsidR="49A53EED">
              <w:rPr>
                <w:color w:val="1F1F1F"/>
              </w:rPr>
              <w:t>[Reflux Barrier] Acts as a "reflux condenser" to trap steam and return condensed umami and alkaline agents to lower layers.</w:t>
            </w:r>
          </w:p>
        </w:tc>
      </w:tr>
      <w:tr w:rsidR="49A53EED" w:rsidTr="49A53EED" w14:paraId="465C2475">
        <w:trPr>
          <w:trHeight w:val="300"/>
        </w:trPr>
        <w:tc>
          <w:tcPr>
            <w:tcW w:w="552" w:type="dxa"/>
            <w:tcBorders>
              <w:top w:val="single" w:sz="6"/>
              <w:left w:val="single" w:sz="6"/>
              <w:bottom w:val="single" w:sz="6"/>
              <w:right w:val="single" w:sz="6"/>
            </w:tcBorders>
            <w:tcMar>
              <w:top w:w="240" w:type="dxa"/>
              <w:bottom w:w="240" w:type="dxa"/>
              <w:right w:w="180" w:type="dxa"/>
            </w:tcMar>
            <w:vAlign w:val="center"/>
          </w:tcPr>
          <w:p w:rsidR="49A53EED" w:rsidP="49A53EED" w:rsidRDefault="49A53EED" w14:paraId="779EB973" w14:textId="2DA897F1">
            <w:pPr>
              <w:spacing w:before="0" w:beforeAutospacing="off" w:after="0" w:afterAutospacing="off"/>
            </w:pPr>
            <w:r w:rsidRPr="49A53EED" w:rsidR="49A53EED">
              <w:rPr>
                <w:color w:val="1F1F1F"/>
              </w:rPr>
              <w:t>Layer 3</w:t>
            </w:r>
          </w:p>
        </w:tc>
        <w:tc>
          <w:tcPr>
            <w:tcW w:w="2332" w:type="dxa"/>
            <w:tcBorders>
              <w:top w:val="single" w:sz="6"/>
              <w:left w:val="single" w:sz="6"/>
              <w:bottom w:val="single" w:sz="6"/>
              <w:right w:val="single" w:sz="6"/>
            </w:tcBorders>
            <w:tcMar>
              <w:top w:w="240" w:type="dxa"/>
              <w:bottom w:w="240" w:type="dxa"/>
              <w:right w:w="180" w:type="dxa"/>
            </w:tcMar>
            <w:vAlign w:val="center"/>
          </w:tcPr>
          <w:p w:rsidR="49A53EED" w:rsidP="49A53EED" w:rsidRDefault="49A53EED" w14:paraId="5CB2CC08" w14:textId="7324B57A">
            <w:pPr>
              <w:spacing w:before="0" w:beforeAutospacing="off" w:after="0" w:afterAutospacing="off"/>
            </w:pPr>
            <w:r w:rsidRPr="49A53EED" w:rsidR="49A53EED">
              <w:rPr>
                <w:color w:val="1F1F1F"/>
              </w:rPr>
              <w:t>ドライトマト・醸造酢 (Dried Tomato, Vinegar)</w:t>
            </w:r>
          </w:p>
        </w:tc>
        <w:tc>
          <w:tcPr>
            <w:tcW w:w="6131" w:type="dxa"/>
            <w:tcBorders>
              <w:top w:val="single" w:sz="6"/>
              <w:left w:val="single" w:sz="6"/>
              <w:bottom w:val="single" w:sz="6"/>
              <w:right w:val="single" w:sz="6"/>
            </w:tcBorders>
            <w:tcMar>
              <w:top w:w="240" w:type="dxa"/>
              <w:bottom w:w="240" w:type="dxa"/>
            </w:tcMar>
            <w:vAlign w:val="center"/>
          </w:tcPr>
          <w:p w:rsidR="49A53EED" w:rsidP="49A53EED" w:rsidRDefault="49A53EED" w14:paraId="01BFBCB5" w14:textId="114095B8">
            <w:pPr>
              <w:spacing w:before="0" w:beforeAutospacing="off" w:after="0" w:afterAutospacing="off"/>
            </w:pPr>
            <w:r w:rsidRPr="49A53EED" w:rsidR="49A53EED">
              <w:rPr>
                <w:color w:val="1F1F1F"/>
              </w:rPr>
              <w:t>【pH中和】醸造酢（米酢等）が上からの重曹を中和。酵素活性の最適域（弱酸性から中性）へ誘導。</w:t>
            </w:r>
          </w:p>
          <w:p w:rsidR="49A53EED" w:rsidP="49A53EED" w:rsidRDefault="49A53EED" w14:paraId="4410F784" w14:textId="20F6DDE4">
            <w:pPr>
              <w:spacing w:before="0" w:beforeAutospacing="off" w:after="0" w:afterAutospacing="off"/>
            </w:pPr>
          </w:p>
          <w:p w:rsidR="49A53EED" w:rsidP="49A53EED" w:rsidRDefault="49A53EED" w14:paraId="3C299BF2" w14:textId="4869BBA6">
            <w:pPr>
              <w:spacing w:before="0" w:beforeAutospacing="off" w:after="0" w:afterAutospacing="off"/>
            </w:pPr>
            <w:r w:rsidRPr="49A53EED" w:rsidR="49A53EED">
              <w:rPr>
                <w:color w:val="1F1F1F"/>
              </w:rPr>
              <w:t>[pH Neutralization] Vinegar neutralizes descending alkaline agents, forcing pH into the "weakly acidic to neutral" range where enzyme activity is maximized.</w:t>
            </w:r>
          </w:p>
        </w:tc>
      </w:tr>
      <w:tr w:rsidR="49A53EED" w:rsidTr="49A53EED" w14:paraId="1D2B5020">
        <w:trPr>
          <w:trHeight w:val="300"/>
        </w:trPr>
        <w:tc>
          <w:tcPr>
            <w:tcW w:w="552" w:type="dxa"/>
            <w:tcBorders>
              <w:top w:val="single" w:sz="6"/>
              <w:left w:val="single" w:sz="6"/>
              <w:bottom w:val="single" w:sz="6"/>
              <w:right w:val="single" w:sz="6"/>
            </w:tcBorders>
            <w:tcMar>
              <w:top w:w="240" w:type="dxa"/>
              <w:bottom w:w="240" w:type="dxa"/>
              <w:right w:w="180" w:type="dxa"/>
            </w:tcMar>
            <w:vAlign w:val="center"/>
          </w:tcPr>
          <w:p w:rsidR="49A53EED" w:rsidP="49A53EED" w:rsidRDefault="49A53EED" w14:paraId="39E6A7E7" w14:textId="6080072F">
            <w:pPr>
              <w:spacing w:before="0" w:beforeAutospacing="off" w:after="0" w:afterAutospacing="off"/>
            </w:pPr>
            <w:r w:rsidRPr="49A53EED" w:rsidR="49A53EED">
              <w:rPr>
                <w:color w:val="1F1F1F"/>
              </w:rPr>
              <w:t>Layer 2</w:t>
            </w:r>
          </w:p>
        </w:tc>
        <w:tc>
          <w:tcPr>
            <w:tcW w:w="2332" w:type="dxa"/>
            <w:tcBorders>
              <w:top w:val="single" w:sz="6"/>
              <w:left w:val="single" w:sz="6"/>
              <w:bottom w:val="single" w:sz="6"/>
              <w:right w:val="single" w:sz="6"/>
            </w:tcBorders>
            <w:tcMar>
              <w:top w:w="240" w:type="dxa"/>
              <w:bottom w:w="240" w:type="dxa"/>
              <w:right w:w="180" w:type="dxa"/>
            </w:tcMar>
            <w:vAlign w:val="center"/>
          </w:tcPr>
          <w:p w:rsidR="49A53EED" w:rsidP="49A53EED" w:rsidRDefault="49A53EED" w14:paraId="19F55385" w14:textId="08465648">
            <w:pPr>
              <w:spacing w:before="0" w:beforeAutospacing="off" w:after="0" w:afterAutospacing="off"/>
            </w:pPr>
            <w:r w:rsidRPr="49A53EED" w:rsidR="49A53EED">
              <w:rPr>
                <w:color w:val="1F1F1F"/>
              </w:rPr>
              <w:t>玉ねぎ等の糖化素材 (Saccharification materials e.g. Onions)</w:t>
            </w:r>
          </w:p>
        </w:tc>
        <w:tc>
          <w:tcPr>
            <w:tcW w:w="6131" w:type="dxa"/>
            <w:tcBorders>
              <w:top w:val="single" w:sz="6"/>
              <w:left w:val="single" w:sz="6"/>
              <w:bottom w:val="single" w:sz="6"/>
              <w:right w:val="single" w:sz="6"/>
            </w:tcBorders>
            <w:tcMar>
              <w:top w:w="240" w:type="dxa"/>
              <w:bottom w:w="240" w:type="dxa"/>
            </w:tcMar>
            <w:vAlign w:val="center"/>
          </w:tcPr>
          <w:p w:rsidR="49A53EED" w:rsidP="49A53EED" w:rsidRDefault="49A53EED" w14:paraId="2D418895" w14:textId="4EBB8CEF">
            <w:pPr>
              <w:spacing w:before="0" w:beforeAutospacing="off" w:after="0" w:afterAutospacing="off"/>
            </w:pPr>
            <w:r w:rsidRPr="49A53EED" w:rsidR="49A53EED">
              <w:rPr>
                <w:color w:val="1F1F1F"/>
              </w:rPr>
              <w:t>【糖化最大化】中和された環境下でアミラーゼが澱粉を糖へ分解。pHの安定が甘味を決定する。</w:t>
            </w:r>
          </w:p>
          <w:p w:rsidR="49A53EED" w:rsidP="49A53EED" w:rsidRDefault="49A53EED" w14:paraId="2392B2A2" w14:textId="69BC6255">
            <w:pPr>
              <w:spacing w:before="0" w:beforeAutospacing="off" w:after="0" w:afterAutospacing="off"/>
            </w:pPr>
          </w:p>
          <w:p w:rsidR="49A53EED" w:rsidP="49A53EED" w:rsidRDefault="49A53EED" w14:paraId="40884ACA" w14:textId="0C27B701">
            <w:pPr>
              <w:spacing w:before="0" w:beforeAutospacing="off" w:after="0" w:afterAutospacing="off"/>
            </w:pPr>
            <w:r w:rsidRPr="49A53EED" w:rsidR="49A53EED">
              <w:rPr>
                <w:color w:val="1F1F1F"/>
              </w:rPr>
              <w:t>[Maximization of Saccharification] Under neutralized conditions, amylase breaks down starch into sugars, maximizing sweetness yield.</w:t>
            </w:r>
          </w:p>
        </w:tc>
      </w:tr>
      <w:tr w:rsidR="49A53EED" w:rsidTr="49A53EED" w14:paraId="3318C4B8">
        <w:trPr>
          <w:trHeight w:val="300"/>
        </w:trPr>
        <w:tc>
          <w:tcPr>
            <w:tcW w:w="552" w:type="dxa"/>
            <w:tcBorders>
              <w:top w:val="single" w:sz="6"/>
              <w:left w:val="single" w:sz="6"/>
              <w:bottom w:val="single" w:sz="6"/>
              <w:right w:val="single" w:sz="6"/>
            </w:tcBorders>
            <w:tcMar>
              <w:top w:w="240" w:type="dxa"/>
              <w:bottom w:w="240" w:type="dxa"/>
              <w:right w:w="180" w:type="dxa"/>
            </w:tcMar>
            <w:vAlign w:val="center"/>
          </w:tcPr>
          <w:p w:rsidR="49A53EED" w:rsidP="49A53EED" w:rsidRDefault="49A53EED" w14:paraId="2B16DBBB" w14:textId="77E41F80">
            <w:pPr>
              <w:spacing w:before="0" w:beforeAutospacing="off" w:after="0" w:afterAutospacing="off"/>
            </w:pPr>
            <w:r w:rsidRPr="49A53EED" w:rsidR="49A53EED">
              <w:rPr>
                <w:color w:val="1F1F1F"/>
              </w:rPr>
              <w:t>Layer 1 (Base)</w:t>
            </w:r>
          </w:p>
        </w:tc>
        <w:tc>
          <w:tcPr>
            <w:tcW w:w="2332" w:type="dxa"/>
            <w:tcBorders>
              <w:top w:val="single" w:sz="6"/>
              <w:left w:val="single" w:sz="6"/>
              <w:bottom w:val="single" w:sz="6"/>
              <w:right w:val="single" w:sz="6"/>
            </w:tcBorders>
            <w:tcMar>
              <w:top w:w="240" w:type="dxa"/>
              <w:bottom w:w="240" w:type="dxa"/>
              <w:right w:w="180" w:type="dxa"/>
            </w:tcMar>
            <w:vAlign w:val="center"/>
          </w:tcPr>
          <w:p w:rsidR="49A53EED" w:rsidP="49A53EED" w:rsidRDefault="49A53EED" w14:paraId="0CE6A918" w14:textId="6A723FB1">
            <w:pPr>
              <w:spacing w:before="0" w:beforeAutospacing="off" w:after="0" w:afterAutospacing="off"/>
            </w:pPr>
            <w:r w:rsidRPr="49A53EED" w:rsidR="49A53EED">
              <w:rPr>
                <w:color w:val="1F1F1F"/>
              </w:rPr>
              <w:t>塩・昆布・根菜 (Salt, Kombu, Root Veg)</w:t>
            </w:r>
          </w:p>
        </w:tc>
        <w:tc>
          <w:tcPr>
            <w:tcW w:w="6131" w:type="dxa"/>
            <w:tcBorders>
              <w:top w:val="single" w:sz="6"/>
              <w:left w:val="single" w:sz="6"/>
              <w:bottom w:val="single" w:sz="6"/>
              <w:right w:val="single" w:sz="6"/>
            </w:tcBorders>
            <w:tcMar>
              <w:top w:w="240" w:type="dxa"/>
              <w:bottom w:w="240" w:type="dxa"/>
            </w:tcMar>
            <w:vAlign w:val="center"/>
          </w:tcPr>
          <w:p w:rsidR="49A53EED" w:rsidP="49A53EED" w:rsidRDefault="49A53EED" w14:paraId="5AABBDBF" w14:textId="21284C54">
            <w:pPr>
              <w:spacing w:before="0" w:beforeAutospacing="off" w:after="0" w:afterAutospacing="off"/>
            </w:pPr>
            <w:r w:rsidRPr="49A53EED" w:rsidR="49A53EED">
              <w:rPr>
                <w:color w:val="1F1F1F"/>
              </w:rPr>
              <w:t>【拡散起点】最下層からの強烈な浸透圧で旨味を抽出し、上昇する蒸気に乗せて全層へ拡散させる。</w:t>
            </w:r>
          </w:p>
          <w:p w:rsidR="49A53EED" w:rsidP="49A53EED" w:rsidRDefault="49A53EED" w14:paraId="22DF60DB" w14:textId="1EDC0349">
            <w:pPr>
              <w:spacing w:before="0" w:beforeAutospacing="off" w:after="0" w:afterAutospacing="off"/>
            </w:pPr>
          </w:p>
          <w:p w:rsidR="49A53EED" w:rsidP="49A53EED" w:rsidRDefault="49A53EED" w14:paraId="4C119E31" w14:textId="77491395">
            <w:pPr>
              <w:spacing w:before="0" w:beforeAutospacing="off" w:after="0" w:afterAutospacing="off"/>
            </w:pPr>
            <w:r w:rsidRPr="49A53EED" w:rsidR="49A53EED">
              <w:rPr>
                <w:color w:val="1F1F1F"/>
              </w:rPr>
              <w:t>[Origin of Diffusion] Extracts umami via intense osmotic pressure from the bottom layer, diffusing it throughout all layers via rising steam.</w:t>
            </w:r>
          </w:p>
        </w:tc>
      </w:tr>
    </w:tbl>
    <w:p xmlns:wp14="http://schemas.microsoft.com/office/word/2010/wordml" w:rsidP="49A53EED" wp14:paraId="3970AB07" wp14:textId="15251796">
      <w:pPr>
        <w:bidi w:val="0"/>
        <w:spacing w:before="0" w:beforeAutospacing="off" w:after="0" w:afterAutospacing="off"/>
      </w:pPr>
    </w:p>
    <w:p xmlns:wp14="http://schemas.microsoft.com/office/word/2010/wordml" w:rsidP="49A53EED" wp14:paraId="40B2997B" wp14:textId="408DA153">
      <w:pPr>
        <w:pStyle w:val="Heading2"/>
        <w:bidi w:val="0"/>
        <w:spacing w:before="0" w:beforeAutospacing="off" w:after="120" w:afterAutospacing="off"/>
      </w:pPr>
      <w:r w:rsidRPr="49A53EED" w:rsidR="0D03BF23">
        <w:rPr>
          <w:rFonts w:ascii="Yu Mincho Regular" w:hAnsi="Yu Mincho Regular" w:eastAsia="Yu Mincho Regular" w:cs="Yu Mincho Regular"/>
          <w:b w:val="1"/>
          <w:bCs w:val="1"/>
          <w:noProof w:val="0"/>
          <w:color w:val="1F1F1F"/>
          <w:sz w:val="36"/>
          <w:szCs w:val="36"/>
          <w:lang w:eastAsia="ja-JP"/>
        </w:rPr>
        <w:t>3. 製造工程詳細：物理・化学・熱入力パラメータ</w:t>
      </w:r>
    </w:p>
    <w:p xmlns:wp14="http://schemas.microsoft.com/office/word/2010/wordml" w:rsidP="49A53EED" wp14:paraId="670E1A2A" wp14:textId="29A54BB6">
      <w:pPr>
        <w:pStyle w:val="Heading2"/>
        <w:bidi w:val="0"/>
        <w:spacing w:before="0" w:beforeAutospacing="off" w:after="120" w:afterAutospacing="off"/>
      </w:pPr>
      <w:r w:rsidRPr="49A53EED" w:rsidR="0D03BF23">
        <w:rPr>
          <w:rFonts w:ascii="Yu Mincho Regular" w:hAnsi="Yu Mincho Regular" w:eastAsia="Yu Mincho Regular" w:cs="Yu Mincho Regular"/>
          <w:b w:val="1"/>
          <w:bCs w:val="1"/>
          <w:noProof w:val="0"/>
          <w:color w:val="1F1F1F"/>
          <w:sz w:val="36"/>
          <w:szCs w:val="36"/>
          <w:lang w:eastAsia="ja-JP"/>
        </w:rPr>
        <w:t>Detailed Manufacturing Process: Physical, Chemical, and Heat Parameters</w:t>
      </w:r>
    </w:p>
    <w:p xmlns:wp14="http://schemas.microsoft.com/office/word/2010/wordml" w:rsidP="49A53EED" wp14:paraId="69D35830" wp14:textId="7A657375">
      <w:pPr>
        <w:bidi w:val="0"/>
        <w:spacing w:before="0" w:beforeAutospacing="off" w:after="120" w:afterAutospacing="off"/>
      </w:pPr>
      <w:r w:rsidRPr="49A53EED" w:rsidR="0D03BF23">
        <w:rPr>
          <w:rFonts w:ascii="Yu Mincho Regular" w:hAnsi="Yu Mincho Regular" w:eastAsia="Yu Mincho Regular" w:cs="Yu Mincho Regular"/>
          <w:noProof w:val="0"/>
          <w:color w:val="1F1F1F"/>
          <w:sz w:val="21"/>
          <w:szCs w:val="21"/>
          <w:lang w:eastAsia="ja-JP"/>
        </w:rPr>
        <w:t>Phase 1: 物理穿孔 (Cryogenic Perforation)</w:t>
      </w:r>
    </w:p>
    <w:p xmlns:wp14="http://schemas.microsoft.com/office/word/2010/wordml" w:rsidP="49A53EED" wp14:paraId="31ED6496" wp14:textId="705696D2">
      <w:pPr>
        <w:pStyle w:val="ListParagraph"/>
        <w:numPr>
          <w:ilvl w:val="0"/>
          <w:numId w:val="1"/>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素材をマイナス18度で急速冷凍し、氷結晶により細胞壁を物理的に穿孔する。</w:t>
      </w:r>
    </w:p>
    <w:p xmlns:wp14="http://schemas.microsoft.com/office/word/2010/wordml" w:rsidP="49A53EED" wp14:paraId="728F648D" wp14:textId="26061C0A">
      <w:pPr>
        <w:pStyle w:val="ListParagraph"/>
        <w:numPr>
          <w:ilvl w:val="0"/>
          <w:numId w:val="1"/>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Rapidly freeze materials at -18 degrees C. Perforation by ice crystals physically disrupts cell walls.</w:t>
      </w:r>
    </w:p>
    <w:p xmlns:wp14="http://schemas.microsoft.com/office/word/2010/wordml" w:rsidP="49A53EED" wp14:paraId="0DFBAE58" wp14:textId="1C6E9F60">
      <w:pPr>
        <w:bidi w:val="0"/>
        <w:spacing w:before="0" w:beforeAutospacing="off" w:after="120" w:afterAutospacing="off"/>
      </w:pPr>
      <w:r w:rsidRPr="49A53EED" w:rsidR="0D03BF23">
        <w:rPr>
          <w:rFonts w:ascii="Yu Mincho Regular" w:hAnsi="Yu Mincho Regular" w:eastAsia="Yu Mincho Regular" w:cs="Yu Mincho Regular"/>
          <w:noProof w:val="0"/>
          <w:color w:val="1F1F1F"/>
          <w:sz w:val="21"/>
          <w:szCs w:val="21"/>
          <w:lang w:eastAsia="ja-JP"/>
        </w:rPr>
        <w:t>Phase 2: 物理的圧密 (Physical Compression)</w:t>
      </w:r>
    </w:p>
    <w:p xmlns:wp14="http://schemas.microsoft.com/office/word/2010/wordml" w:rsidP="49A53EED" wp14:paraId="1689CD35" wp14:textId="619AD228">
      <w:pPr>
        <w:pStyle w:val="ListParagraph"/>
        <w:numPr>
          <w:ilvl w:val="0"/>
          <w:numId w:val="2"/>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積層後、落とし蓋等で物理的に圧縮。素材間の空気層（断熱層）を排除し、熱伝導率を均一化する。</w:t>
      </w:r>
    </w:p>
    <w:p xmlns:wp14="http://schemas.microsoft.com/office/word/2010/wordml" w:rsidP="49A53EED" wp14:paraId="2260A9C7" wp14:textId="0E7A7768">
      <w:pPr>
        <w:pStyle w:val="ListParagraph"/>
        <w:numPr>
          <w:ilvl w:val="0"/>
          <w:numId w:val="2"/>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Apply physical compression using a lid. Eliminate air gaps between materials to unify thermal conductivity.</w:t>
      </w:r>
    </w:p>
    <w:p xmlns:wp14="http://schemas.microsoft.com/office/word/2010/wordml" w:rsidP="49A53EED" wp14:paraId="3AA052CC" wp14:textId="20D68632">
      <w:pPr>
        <w:bidi w:val="0"/>
        <w:spacing w:before="0" w:beforeAutospacing="off" w:after="120" w:afterAutospacing="off"/>
      </w:pPr>
      <w:r w:rsidRPr="49A53EED" w:rsidR="0D03BF23">
        <w:rPr>
          <w:rFonts w:ascii="Yu Mincho Regular" w:hAnsi="Yu Mincho Regular" w:eastAsia="Yu Mincho Regular" w:cs="Yu Mincho Regular"/>
          <w:noProof w:val="0"/>
          <w:color w:val="1F1F1F"/>
          <w:sz w:val="21"/>
          <w:szCs w:val="21"/>
          <w:lang w:eastAsia="ja-JP"/>
        </w:rPr>
        <w:t>Phase 3: 飽和蒸気圧管理 (Vapor Pressure Control)</w:t>
      </w:r>
    </w:p>
    <w:p xmlns:wp14="http://schemas.microsoft.com/office/word/2010/wordml" w:rsidP="49A53EED" wp14:paraId="3A4EBA2F" wp14:textId="2333FF9E">
      <w:pPr>
        <w:pStyle w:val="ListParagraph"/>
        <w:numPr>
          <w:ilvl w:val="0"/>
          <w:numId w:val="3"/>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「絶対に蓋を開けない」。内部を飽和蒸気圧で満たし、熱を細胞奥深くまで強制的に押し込む。</w:t>
      </w:r>
    </w:p>
    <w:p xmlns:wp14="http://schemas.microsoft.com/office/word/2010/wordml" w:rsidP="49A53EED" wp14:paraId="4FEFD01C" wp14:textId="3216F080">
      <w:pPr>
        <w:pStyle w:val="ListParagraph"/>
        <w:numPr>
          <w:ilvl w:val="0"/>
          <w:numId w:val="3"/>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"Never open the lid." Maintain saturated vapor pressure to force heat deep into cellular structures.</w:t>
      </w:r>
    </w:p>
    <w:p xmlns:wp14="http://schemas.microsoft.com/office/word/2010/wordml" w:rsidP="49A53EED" wp14:paraId="58E58410" wp14:textId="6A7D7B45">
      <w:pPr>
        <w:bidi w:val="0"/>
        <w:spacing w:before="0" w:beforeAutospacing="off" w:after="120" w:afterAutospacing="off"/>
      </w:pPr>
      <w:r w:rsidRPr="49A53EED" w:rsidR="0D03BF23">
        <w:rPr>
          <w:rFonts w:ascii="Yu Mincho Regular" w:hAnsi="Yu Mincho Regular" w:eastAsia="Yu Mincho Regular" w:cs="Yu Mincho Regular"/>
          <w:noProof w:val="0"/>
          <w:color w:val="1F1F1F"/>
          <w:sz w:val="21"/>
          <w:szCs w:val="21"/>
          <w:lang w:eastAsia="ja-JP"/>
        </w:rPr>
        <w:t>Phase 4: 熱入力シーケンス（恒温演算） (Heat Input Sequence: Incubation)</w:t>
      </w:r>
    </w:p>
    <w:p xmlns:wp14="http://schemas.microsoft.com/office/word/2010/wordml" w:rsidP="49A53EED" wp14:paraId="4D2F38A9" wp14:textId="5178CC90">
      <w:pPr>
        <w:pStyle w:val="ListParagraph"/>
        <w:numPr>
          <w:ilvl w:val="0"/>
          <w:numId w:val="4"/>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初期立ち上げ: 「極弱火 (Minimum Low Heat)」。</w:t>
      </w:r>
    </w:p>
    <w:p xmlns:wp14="http://schemas.microsoft.com/office/word/2010/wordml" w:rsidP="49A53EED" wp14:paraId="623E1E80" wp14:textId="2EB47CE2">
      <w:pPr>
        <w:pStyle w:val="ListParagraph"/>
        <w:numPr>
          <w:ilvl w:val="0"/>
          <w:numId w:val="4"/>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ターゲット温度の維持と「55度」の必然性:</w:t>
      </w:r>
    </w:p>
    <w:p xmlns:wp14="http://schemas.microsoft.com/office/word/2010/wordml" w:rsidP="49A53EED" wp14:paraId="5B0C2A63" wp14:textId="05014315">
      <w:pPr>
        <w:pStyle w:val="ListParagraph"/>
        <w:numPr>
          <w:ilvl w:val="1"/>
          <w:numId w:val="4"/>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鍋内部温度: 55度から60度。 / 保持時間: 90分間。</w:t>
      </w:r>
    </w:p>
    <w:p xmlns:wp14="http://schemas.microsoft.com/office/word/2010/wordml" w:rsidP="49A53EED" wp14:paraId="69396548" wp14:textId="1D850147">
      <w:pPr>
        <w:pStyle w:val="ListParagraph"/>
        <w:numPr>
          <w:ilvl w:val="1"/>
          <w:numId w:val="4"/>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【55度の理由】麹菌由来酵素（プロテアーゼ等）の活性が最大化する領域。65度を超えると酵素が熱変性し失活（機能停止）するため、この温度帯を維持する。</w:t>
      </w:r>
    </w:p>
    <w:p xmlns:wp14="http://schemas.microsoft.com/office/word/2010/wordml" w:rsidP="49A53EED" wp14:paraId="1A368AE2" wp14:textId="385E04D2">
      <w:pPr>
        <w:pStyle w:val="ListParagraph"/>
        <w:numPr>
          <w:ilvl w:val="1"/>
          <w:numId w:val="4"/>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[Rationale for 55C] This is the sweet spot for enzyme activity. Above 65C, enzymes denature and deactivate. Maintaining this range prevents destroying the "biological processors."</w:t>
      </w:r>
    </w:p>
    <w:p xmlns:wp14="http://schemas.microsoft.com/office/word/2010/wordml" w:rsidP="49A53EED" wp14:paraId="5D7E3376" wp14:textId="31FB3BBC">
      <w:pPr>
        <w:pStyle w:val="ListParagraph"/>
        <w:numPr>
          <w:ilvl w:val="1"/>
          <w:numId w:val="4"/>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【物理的検知】蓋が「熱くて触れるが、3秒以上は触り続けられない」程度。沸騰音はエラー信号。</w:t>
      </w:r>
    </w:p>
    <w:p xmlns:wp14="http://schemas.microsoft.com/office/word/2010/wordml" w:rsidP="49A53EED" wp14:paraId="228C06D8" wp14:textId="59AA34A6">
      <w:pPr>
        <w:pStyle w:val="ListParagraph"/>
        <w:numPr>
          <w:ilvl w:val="1"/>
          <w:numId w:val="4"/>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[Detection] The lid is hot enough to touch, but cannot be held for more than 3 seconds. Boiling sounds are error signals.</w:t>
      </w:r>
    </w:p>
    <w:p xmlns:wp14="http://schemas.microsoft.com/office/word/2010/wordml" w:rsidP="49A53EED" wp14:paraId="5DAD8AB2" wp14:textId="3B25D6FD">
      <w:pPr>
        <w:pStyle w:val="ListParagraph"/>
        <w:numPr>
          <w:ilvl w:val="0"/>
          <w:numId w:val="4"/>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最終滅菌: 「中火 (Medium Heat)」で中心温度 65度から72度。 / 保持時間: 5分間。</w:t>
      </w:r>
    </w:p>
    <w:p xmlns:wp14="http://schemas.microsoft.com/office/word/2010/wordml" w:rsidP="49A53EED" wp14:paraId="35245592" wp14:textId="4EB470F3">
      <w:pPr>
        <w:pStyle w:val="ListParagraph"/>
        <w:numPr>
          <w:ilvl w:val="1"/>
          <w:numId w:val="4"/>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[Final Sterilization] Maintain core temp at 65C to 72C for 5 minutes.</w:t>
      </w:r>
    </w:p>
    <w:p xmlns:wp14="http://schemas.microsoft.com/office/word/2010/wordml" w:rsidP="49A53EED" wp14:paraId="552D20AB" wp14:textId="329510FE">
      <w:pPr>
        <w:bidi w:val="0"/>
        <w:spacing w:before="0" w:beforeAutospacing="off" w:after="120" w:afterAutospacing="off"/>
      </w:pPr>
      <w:r w:rsidRPr="49A53EED" w:rsidR="0D03BF23">
        <w:rPr>
          <w:rFonts w:ascii="Yu Mincho Regular" w:hAnsi="Yu Mincho Regular" w:eastAsia="Yu Mincho Regular" w:cs="Yu Mincho Regular"/>
          <w:noProof w:val="0"/>
          <w:color w:val="1F1F1F"/>
          <w:sz w:val="21"/>
          <w:szCs w:val="21"/>
          <w:lang w:eastAsia="ja-JP"/>
        </w:rPr>
        <w:t>Phase 5: 外部断熱保持 (Thermal Insulation)</w:t>
      </w:r>
    </w:p>
    <w:p xmlns:wp14="http://schemas.microsoft.com/office/word/2010/wordml" w:rsidP="49A53EED" wp14:paraId="026A1BFE" wp14:textId="0AA8F8B9">
      <w:pPr>
        <w:pStyle w:val="ListParagraph"/>
        <w:numPr>
          <w:ilvl w:val="0"/>
          <w:numId w:val="5"/>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加熱終了後、鍋を新聞紙や厚手のタオルで多層密閉。余熱で組織崩壊を完遂させる。</w:t>
      </w:r>
    </w:p>
    <w:p xmlns:wp14="http://schemas.microsoft.com/office/word/2010/wordml" w:rsidP="49A53EED" wp14:paraId="1E4AC5D5" wp14:textId="391169F9">
      <w:pPr>
        <w:pStyle w:val="ListParagraph"/>
        <w:numPr>
          <w:ilvl w:val="0"/>
          <w:numId w:val="5"/>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Wrap the pot in multiple layers of towels to sustain enzyme activity temperatures.</w:t>
      </w:r>
    </w:p>
    <w:p xmlns:wp14="http://schemas.microsoft.com/office/word/2010/wordml" w:rsidP="49A53EED" wp14:paraId="71A59D04" wp14:textId="562B6CC5">
      <w:pPr>
        <w:bidi w:val="0"/>
        <w:spacing w:before="0" w:beforeAutospacing="off" w:after="120" w:afterAutospacing="off"/>
      </w:pPr>
      <w:r w:rsidRPr="49A53EED" w:rsidR="0D03BF23">
        <w:rPr>
          <w:rFonts w:ascii="Yu Mincho Regular" w:hAnsi="Yu Mincho Regular" w:eastAsia="Yu Mincho Regular" w:cs="Yu Mincho Regular"/>
          <w:noProof w:val="0"/>
          <w:color w:val="1F1F1F"/>
          <w:sz w:val="21"/>
          <w:szCs w:val="21"/>
          <w:lang w:eastAsia="ja-JP"/>
        </w:rPr>
        <w:t>Phase 6: 熱平衡と味の浸透 (Thermal Equilibrium &amp; Fixation)</w:t>
      </w:r>
    </w:p>
    <w:p xmlns:wp14="http://schemas.microsoft.com/office/word/2010/wordml" w:rsidP="49A53EED" wp14:paraId="3AD89C34" wp14:textId="75F93FB7">
      <w:pPr>
        <w:pStyle w:val="ListParagraph"/>
        <w:numPr>
          <w:ilvl w:val="0"/>
          <w:numId w:val="6"/>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常温まで徐冷し、浸透圧の安定により抽出成分を組織内にロックする。</w:t>
      </w:r>
    </w:p>
    <w:p xmlns:wp14="http://schemas.microsoft.com/office/word/2010/wordml" w:rsidP="49A53EED" wp14:paraId="124BE723" wp14:textId="5D77E47F">
      <w:pPr>
        <w:pStyle w:val="ListParagraph"/>
        <w:numPr>
          <w:ilvl w:val="0"/>
          <w:numId w:val="6"/>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Slowly cool to room temperature to lock extracted components within the tissues.</w:t>
      </w:r>
    </w:p>
    <w:p xmlns:wp14="http://schemas.microsoft.com/office/word/2010/wordml" w:rsidP="49A53EED" wp14:paraId="6E57A8C3" wp14:textId="5A41653B">
      <w:pPr>
        <w:bidi w:val="0"/>
        <w:spacing w:before="0" w:beforeAutospacing="off" w:after="120" w:afterAutospacing="off"/>
      </w:pPr>
      <w:r w:rsidRPr="49A53EED" w:rsidR="0D03BF23">
        <w:rPr>
          <w:rFonts w:ascii="Yu Mincho Regular" w:hAnsi="Yu Mincho Regular" w:eastAsia="Yu Mincho Regular" w:cs="Yu Mincho Regular"/>
          <w:noProof w:val="0"/>
          <w:color w:val="1F1F1F"/>
          <w:sz w:val="21"/>
          <w:szCs w:val="21"/>
          <w:lang w:eastAsia="ja-JP"/>
        </w:rPr>
        <w:t>Phase 7: 化学的統合 (Final Integration)</w:t>
      </w:r>
    </w:p>
    <w:p xmlns:wp14="http://schemas.microsoft.com/office/word/2010/wordml" w:rsidP="49A53EED" wp14:paraId="53525DF9" wp14:textId="56A95B40">
      <w:pPr>
        <w:pStyle w:val="ListParagraph"/>
        <w:numPr>
          <w:ilvl w:val="0"/>
          <w:numId w:val="7"/>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黒酢等を投入し、全体を混合。分断されていた多層の旨味を乳化・統合する。</w:t>
      </w:r>
    </w:p>
    <w:p xmlns:wp14="http://schemas.microsoft.com/office/word/2010/wordml" w:rsidP="49A53EED" wp14:paraId="74EA5B50" wp14:textId="34CC4866">
      <w:pPr>
        <w:pStyle w:val="ListParagraph"/>
        <w:numPr>
          <w:ilvl w:val="0"/>
          <w:numId w:val="7"/>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Add black vinegar and mix thoroughly to integrate the layered umami.</w:t>
      </w:r>
    </w:p>
    <w:p xmlns:wp14="http://schemas.microsoft.com/office/word/2010/wordml" w:rsidP="49A53EED" wp14:paraId="46618C77" wp14:textId="5B3A0053">
      <w:pPr>
        <w:bidi w:val="0"/>
        <w:spacing w:before="0" w:beforeAutospacing="off" w:after="0" w:afterAutospacing="off"/>
      </w:pPr>
    </w:p>
    <w:p xmlns:wp14="http://schemas.microsoft.com/office/word/2010/wordml" w:rsidP="49A53EED" wp14:paraId="744B1EDE" wp14:textId="51C99FF6">
      <w:pPr>
        <w:pStyle w:val="Heading2"/>
        <w:bidi w:val="0"/>
        <w:spacing w:before="0" w:beforeAutospacing="off" w:after="120" w:afterAutospacing="off"/>
      </w:pPr>
      <w:r w:rsidRPr="49A53EED" w:rsidR="0D03BF23">
        <w:rPr>
          <w:rFonts w:ascii="Yu Mincho Regular" w:hAnsi="Yu Mincho Regular" w:eastAsia="Yu Mincho Regular" w:cs="Yu Mincho Regular"/>
          <w:b w:val="1"/>
          <w:bCs w:val="1"/>
          <w:noProof w:val="0"/>
          <w:color w:val="1F1F1F"/>
          <w:sz w:val="36"/>
          <w:szCs w:val="36"/>
          <w:lang w:eastAsia="ja-JP"/>
        </w:rPr>
        <w:t>4. リスク管理とガバナンス (Critical Risk Management &amp; Governance)</w:t>
      </w:r>
    </w:p>
    <w:p xmlns:wp14="http://schemas.microsoft.com/office/word/2010/wordml" w:rsidP="49A53EED" wp14:paraId="76D5AA04" wp14:textId="585742D3">
      <w:pPr>
        <w:pStyle w:val="ListParagraph"/>
        <w:numPr>
          <w:ilvl w:val="0"/>
          <w:numId w:val="8"/>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生物学的安全 (Biological Safety):</w:t>
      </w:r>
    </w:p>
    <w:p xmlns:wp14="http://schemas.microsoft.com/office/word/2010/wordml" w:rsidP="49A53EED" wp14:paraId="61BA4FFD" wp14:textId="0639D90D">
      <w:pPr>
        <w:pStyle w:val="ListParagraph"/>
        <w:numPr>
          <w:ilvl w:val="0"/>
          <w:numId w:val="9"/>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耐熱性菌を死滅させるため、中心温度65度以上・5分間保持を厳守する。</w:t>
      </w:r>
    </w:p>
    <w:p xmlns:wp14="http://schemas.microsoft.com/office/word/2010/wordml" w:rsidP="49A53EED" wp14:paraId="50AC4038" wp14:textId="6AA16F34">
      <w:pPr>
        <w:pStyle w:val="ListParagraph"/>
        <w:numPr>
          <w:ilvl w:val="0"/>
          <w:numId w:val="9"/>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Physically eliminate heat-resistant bacteria by maintaining a core temp of 65C+ for 5 minutes.</w:t>
      </w:r>
    </w:p>
    <w:p xmlns:wp14="http://schemas.microsoft.com/office/word/2010/wordml" w:rsidP="49A53EED" wp14:paraId="3F2769C2" wp14:textId="0327A7A3">
      <w:pPr>
        <w:pStyle w:val="ListParagraph"/>
        <w:numPr>
          <w:ilvl w:val="0"/>
          <w:numId w:val="10"/>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非営利性の宣言 (Non-Profit Declaration):</w:t>
      </w:r>
    </w:p>
    <w:p xmlns:wp14="http://schemas.microsoft.com/office/word/2010/wordml" w:rsidP="49A53EED" wp14:paraId="6EDAEEF3" wp14:textId="50F28738">
      <w:pPr>
        <w:pStyle w:val="ListParagraph"/>
        <w:numPr>
          <w:ilvl w:val="0"/>
          <w:numId w:val="11"/>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作成者は本プロトコルに関し、一切の金銭的対価および商業的利益を求めない。</w:t>
      </w:r>
    </w:p>
    <w:p xmlns:wp14="http://schemas.microsoft.com/office/word/2010/wordml" w:rsidP="49A53EED" wp14:paraId="577BE5CA" wp14:textId="27943839">
      <w:pPr>
        <w:pStyle w:val="ListParagraph"/>
        <w:numPr>
          <w:ilvl w:val="0"/>
          <w:numId w:val="11"/>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The creator seeks no monetary compensation or commercial profit regarding this protocol.</w:t>
      </w:r>
    </w:p>
    <w:p xmlns:wp14="http://schemas.microsoft.com/office/word/2010/wordml" w:rsidP="49A53EED" wp14:paraId="082A4EED" wp14:textId="5213EAB4">
      <w:pPr>
        <w:pStyle w:val="ListParagraph"/>
        <w:numPr>
          <w:ilvl w:val="0"/>
          <w:numId w:val="12"/>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責任のパージ（免責事項） (Purge of Liability):</w:t>
      </w:r>
    </w:p>
    <w:p xmlns:wp14="http://schemas.microsoft.com/office/word/2010/wordml" w:rsidP="49A53EED" wp14:paraId="6B31FAB5" wp14:textId="4935BCB7">
      <w:pPr>
        <w:pStyle w:val="ListParagraph"/>
        <w:numPr>
          <w:ilvl w:val="0"/>
          <w:numId w:val="13"/>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本仕様書は非商用実証MVPであり、利用結果は利用者の自己責任にのみ帰属する。作成者は法的な注意義務を負わない。</w:t>
      </w:r>
    </w:p>
    <w:p xmlns:wp14="http://schemas.microsoft.com/office/word/2010/wordml" w:rsidP="49A53EED" wp14:paraId="2826BB46" wp14:textId="7D8C5696">
      <w:pPr>
        <w:pStyle w:val="ListParagraph"/>
        <w:numPr>
          <w:ilvl w:val="0"/>
          <w:numId w:val="13"/>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This is a non-commercial MVP; all consequences belong solely to the user. The creator provides no warranties and opts out of any legal "duty of care."</w:t>
      </w:r>
    </w:p>
    <w:p xmlns:wp14="http://schemas.microsoft.com/office/word/2010/wordml" w:rsidP="49A53EED" wp14:paraId="71D6C030" wp14:textId="2969AC4C">
      <w:pPr>
        <w:pStyle w:val="ListParagraph"/>
        <w:numPr>
          <w:ilvl w:val="0"/>
          <w:numId w:val="14"/>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先行技術の放流 (Prior Art Release):</w:t>
      </w:r>
    </w:p>
    <w:p xmlns:wp14="http://schemas.microsoft.com/office/word/2010/wordml" w:rsidP="49A53EED" wp14:paraId="46075578" wp14:textId="4CE56B3D">
      <w:pPr>
        <w:pStyle w:val="ListParagraph"/>
        <w:numPr>
          <w:ilvl w:val="0"/>
          <w:numId w:val="15"/>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本ログを先行技術として永続的に放流し、第三者の特許独占を阻止する。</w:t>
      </w:r>
    </w:p>
    <w:p xmlns:wp14="http://schemas.microsoft.com/office/word/2010/wordml" w:rsidP="49A53EED" wp14:paraId="3B1F28BA" wp14:textId="60BC8F8D">
      <w:pPr>
        <w:pStyle w:val="ListParagraph"/>
        <w:numPr>
          <w:ilvl w:val="0"/>
          <w:numId w:val="15"/>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9A53EED" w:rsidR="0D03BF23">
        <w:rPr>
          <w:rFonts w:ascii="Yu Mincho Regular" w:hAnsi="Yu Mincho Regular" w:eastAsia="Yu Mincho Regular" w:cs="Yu Mincho Regular"/>
          <w:noProof w:val="0"/>
          <w:color w:val="1F1F1F"/>
          <w:sz w:val="21"/>
          <w:szCs w:val="21"/>
          <w:lang w:eastAsia="ja-JP"/>
        </w:rPr>
        <w:t>Permanently release this log as "Prior Art" to prevent patent monopolies, ensuring freedom of use for all.</w:t>
      </w:r>
    </w:p>
    <w:p xmlns:wp14="http://schemas.microsoft.com/office/word/2010/wordml" w:rsidP="49A53EED" wp14:paraId="259EA518" wp14:textId="359249F5">
      <w:pPr>
        <w:bidi w:val="0"/>
        <w:spacing w:before="0" w:beforeAutospacing="off" w:after="0" w:afterAutospacing="off"/>
      </w:pPr>
    </w:p>
    <w:p xmlns:wp14="http://schemas.microsoft.com/office/word/2010/wordml" wp14:paraId="5BADD4ED" wp14:textId="454E4939"/>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661b6e3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5">
    <w:nsid w:val="2c5a74e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4">
    <w:nsid w:val="2728db67"/>
    <w:multiLevelType xmlns:w="http://schemas.openxmlformats.org/wordprocessingml/2006/main" w:val="hybridMultilevel"/>
    <w:lvl xmlns:w="http://schemas.openxmlformats.org/wordprocessingml/2006/main" w:ilvl="0">
      <w:start w:val="4"/>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3">
    <w:nsid w:val="7bc575b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
    <w:nsid w:val="43ac2250"/>
    <w:multiLevelType xmlns:w="http://schemas.openxmlformats.org/wordprocessingml/2006/main" w:val="hybridMultilevel"/>
    <w:lvl xmlns:w="http://schemas.openxmlformats.org/wordprocessingml/2006/main" w:ilvl="0">
      <w:start w:val="3"/>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1">
    <w:nsid w:val="7666638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
    <w:nsid w:val="51ec0753"/>
    <w:multiLevelType xmlns:w="http://schemas.openxmlformats.org/wordprocessingml/2006/main" w:val="hybridMultilevel"/>
    <w:lvl xmlns:w="http://schemas.openxmlformats.org/wordprocessingml/2006/main" w:ilvl="0">
      <w:start w:val="2"/>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9">
    <w:nsid w:val="49d2095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
    <w:nsid w:val="796e12b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7">
    <w:nsid w:val="9bb3e3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4e10e87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76cffcc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2f2c49a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
    <w:nsid w:val="409ade4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5aed6c9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16b2b98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A15BAC"/>
    <w:rsid w:val="0D03BF23"/>
    <w:rsid w:val="44A15BAC"/>
    <w:rsid w:val="49A53E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4A15BAC"/>
  <w15:chartTrackingRefBased/>
  <w15:docId w15:val="{E943ABD9-367C-4D43-A21E-77E7897FF1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b0709dc105045f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2026-03-27T05:43:42.0490288Z</dcterms:created>
  <dcterms:modified xsi:type="dcterms:W3CDTF">2026-03-27T05:44:22.5713398Z</dcterms:modified>
  <dc:creator>イブ 時祭</dc:creator>
  <lastModifiedBy>イブ 時祭</lastModifiedBy>
</coreProperties>
</file>