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71D8C2" wp14:paraId="3C93085A" wp14:textId="29B56D0E">
      <w:pPr>
        <w:spacing w:before="0" w:beforeAutospacing="off" w:after="0" w:afterAutospacing="off"/>
      </w:pPr>
    </w:p>
    <w:p xmlns:wp14="http://schemas.microsoft.com/office/word/2010/wordml" w:rsidP="3971D8C2" wp14:paraId="23A0448C" wp14:textId="6A292DD1">
      <w:pPr>
        <w:pStyle w:val="Heading1"/>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48"/>
          <w:szCs w:val="48"/>
          <w:lang w:eastAsia="ja-JP"/>
        </w:rPr>
        <w:t>🛡️ 蓄熱特化媒体：標準仕様技術公開書 (V-Core Protocol 2026.3 - Final Leak)</w:t>
      </w:r>
    </w:p>
    <w:p xmlns:wp14="http://schemas.microsoft.com/office/word/2010/wordml" w:rsidP="3971D8C2" wp14:paraId="5AC4AA3A" wp14:textId="7BA34FA7">
      <w:pPr>
        <w:pStyle w:val="Heading1"/>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48"/>
          <w:szCs w:val="48"/>
          <w:lang w:eastAsia="ja-JP"/>
        </w:rPr>
        <w:t>Thermal Storage Media: Standard Technical Disclosure</w:t>
      </w:r>
    </w:p>
    <w:p xmlns:wp14="http://schemas.microsoft.com/office/word/2010/wordml" w:rsidP="3971D8C2" wp14:paraId="329C69E9" wp14:textId="4411EACC">
      <w:pPr>
        <w:pStyle w:val="Heading2"/>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36"/>
          <w:szCs w:val="36"/>
          <w:lang w:eastAsia="ja-JP"/>
        </w:rPr>
        <w:t>0. 本文書の法的性質および公開の目的 / Legal Nature and Purpose</w:t>
      </w:r>
    </w:p>
    <w:p xmlns:wp14="http://schemas.microsoft.com/office/word/2010/wordml" w:rsidP="3971D8C2" wp14:paraId="25A39971" wp14:textId="3EAB0854">
      <w:pPr>
        <w:spacing w:before="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本文書は、熱エネルギー貯蔵システムにおける蓄熱媒体の最適組成を定義するものである。本内容は</w:t>
      </w:r>
      <w:r w:rsidRPr="3971D8C2" w:rsidR="4975CEDE">
        <w:rPr>
          <w:rFonts w:ascii="Yu Mincho Regular" w:hAnsi="Yu Mincho Regular" w:eastAsia="Yu Mincho Regular" w:cs="Yu Mincho Regular"/>
          <w:b w:val="1"/>
          <w:bCs w:val="1"/>
          <w:noProof w:val="0"/>
          <w:color w:val="1F1F1F"/>
          <w:sz w:val="21"/>
          <w:szCs w:val="21"/>
          <w:lang w:eastAsia="ja-JP"/>
        </w:rPr>
        <w:t>無料版Gemini（AI）によるシミュレーションおよび熱力学計算</w:t>
      </w:r>
      <w:r w:rsidRPr="3971D8C2" w:rsidR="4975CEDE">
        <w:rPr>
          <w:rFonts w:ascii="Yu Mincho Regular" w:hAnsi="Yu Mincho Regular" w:eastAsia="Yu Mincho Regular" w:cs="Yu Mincho Regular"/>
          <w:noProof w:val="0"/>
          <w:color w:val="1F1F1F"/>
          <w:sz w:val="21"/>
          <w:szCs w:val="21"/>
          <w:lang w:eastAsia="ja-JP"/>
        </w:rPr>
        <w:t>に基づく理論値であり、執筆者による実機を用いた実証実験は一切行われていない。</w:t>
      </w:r>
    </w:p>
    <w:p xmlns:wp14="http://schemas.microsoft.com/office/word/2010/wordml" w:rsidP="3971D8C2" wp14:paraId="292AA62E" wp14:textId="20650603">
      <w:pPr>
        <w:spacing w:before="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執筆者は、本文書に含まれる一切の知的財産権を放棄し、無償で公衆に開放することを宣言する。</w:t>
      </w:r>
    </w:p>
    <w:p xmlns:wp14="http://schemas.microsoft.com/office/word/2010/wordml" w:rsidP="3971D8C2" wp14:paraId="02B03C00" wp14:textId="693D68C4">
      <w:pPr>
        <w:spacing w:before="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 xml:space="preserve">This document defines the optimal composition of thermal storage media. The contents are theoretical values based on </w:t>
      </w:r>
      <w:r w:rsidRPr="3971D8C2" w:rsidR="4975CEDE">
        <w:rPr>
          <w:rFonts w:ascii="Yu Mincho Regular" w:hAnsi="Yu Mincho Regular" w:eastAsia="Yu Mincho Regular" w:cs="Yu Mincho Regular"/>
          <w:b w:val="1"/>
          <w:bCs w:val="1"/>
          <w:noProof w:val="0"/>
          <w:color w:val="1F1F1F"/>
          <w:sz w:val="21"/>
          <w:szCs w:val="21"/>
          <w:lang w:eastAsia="ja-JP"/>
        </w:rPr>
        <w:t>simulations and calculations performed by the free version of Gemini (AI)</w:t>
      </w:r>
      <w:r w:rsidRPr="3971D8C2" w:rsidR="4975CEDE">
        <w:rPr>
          <w:rFonts w:ascii="Yu Mincho Regular" w:hAnsi="Yu Mincho Regular" w:eastAsia="Yu Mincho Regular" w:cs="Yu Mincho Regular"/>
          <w:noProof w:val="0"/>
          <w:color w:val="1F1F1F"/>
          <w:sz w:val="21"/>
          <w:szCs w:val="21"/>
          <w:lang w:eastAsia="ja-JP"/>
        </w:rPr>
        <w:t>; no physical empirical testing has been conducted by the author.</w:t>
      </w:r>
    </w:p>
    <w:p xmlns:wp14="http://schemas.microsoft.com/office/word/2010/wordml" w:rsidP="3971D8C2" wp14:paraId="6F43A7AC" wp14:textId="2C766243">
      <w:pPr>
        <w:spacing w:before="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The author hereby waives all intellectual property rights and declares this information to be in the public domain.</w:t>
      </w:r>
    </w:p>
    <w:p xmlns:wp14="http://schemas.microsoft.com/office/word/2010/wordml" w:rsidP="3971D8C2" wp14:paraId="40F2C2D6" wp14:textId="1D3C89F3">
      <w:pPr>
        <w:spacing w:before="0" w:beforeAutospacing="off" w:after="0" w:afterAutospacing="off"/>
      </w:pPr>
    </w:p>
    <w:p xmlns:wp14="http://schemas.microsoft.com/office/word/2010/wordml" w:rsidP="3971D8C2" wp14:paraId="2B0BB57D" wp14:textId="0CB2B62E">
      <w:pPr>
        <w:pStyle w:val="Heading2"/>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36"/>
          <w:szCs w:val="36"/>
          <w:lang w:eastAsia="ja-JP"/>
        </w:rPr>
        <w:t>1. 媒体組成（重量比）/ Composition (Weight Ratio)</w:t>
      </w:r>
    </w:p>
    <w:p xmlns:wp14="http://schemas.microsoft.com/office/word/2010/wordml" w:rsidP="3971D8C2" wp14:paraId="65A85E3A" wp14:textId="2055246C">
      <w:pPr>
        <w:spacing w:before="0" w:beforeAutospacing="off" w:after="120" w:afterAutospacing="off"/>
      </w:pPr>
      <w:r w:rsidRPr="3971D8C2" w:rsidR="4975CEDE">
        <w:rPr>
          <w:rFonts w:ascii="Yu Mincho Regular" w:hAnsi="Yu Mincho Regular" w:eastAsia="Yu Mincho Regular" w:cs="Yu Mincho Regular"/>
          <w:noProof w:val="0"/>
          <w:color w:val="1F1F1F"/>
          <w:sz w:val="21"/>
          <w:szCs w:val="21"/>
          <w:lang w:eastAsia="ja-JP"/>
        </w:rPr>
        <w:t>以下の組成は、AIが理論上の熱容量最大化、安全性、および長期的な物理・化学的安定性を両立するために算出した厳密な指定である。</w:t>
      </w:r>
    </w:p>
    <w:p xmlns:wp14="http://schemas.microsoft.com/office/word/2010/wordml" w:rsidP="3971D8C2" wp14:paraId="564A70D1" wp14:textId="789A4AF8">
      <w:pPr>
        <w:spacing w:before="0" w:beforeAutospacing="off" w:after="120" w:afterAutospacing="off"/>
      </w:pPr>
      <w:r w:rsidRPr="3971D8C2" w:rsidR="4975CEDE">
        <w:rPr>
          <w:rFonts w:ascii="Yu Mincho Regular" w:hAnsi="Yu Mincho Regular" w:eastAsia="Yu Mincho Regular" w:cs="Yu Mincho Regular"/>
          <w:noProof w:val="0"/>
          <w:color w:val="1F1F1F"/>
          <w:sz w:val="21"/>
          <w:szCs w:val="21"/>
          <w:lang w:eastAsia="ja-JP"/>
        </w:rPr>
        <w:t>The following ratios are strictly designated by AI to balance heat capacity, safety, and long-term physical/chemical stability.</w:t>
      </w:r>
    </w:p>
    <w:p xmlns:wp14="http://schemas.microsoft.com/office/word/2010/wordml" w:rsidP="3971D8C2" wp14:paraId="1C7A1677" wp14:textId="5A33B355">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高純度シリカ砂 (High-Purity Silica Sand / SiO₂ / 2.0-3.0mm): 65.0%</w:t>
      </w:r>
    </w:p>
    <w:p xmlns:wp14="http://schemas.microsoft.com/office/word/2010/wordml" w:rsidP="3971D8C2" wp14:paraId="09AA224A" wp14:textId="567B5962">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主要蓄熱相。空隙率の均一化による対流損失の抑制。</w:t>
      </w:r>
    </w:p>
    <w:p xmlns:wp14="http://schemas.microsoft.com/office/word/2010/wordml" w:rsidP="3971D8C2" wp14:paraId="2F056728" wp14:textId="2FB170B9">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Primary storage phase. Suppresses convection loss via uniform porosity.</w:t>
      </w:r>
    </w:p>
    <w:p xmlns:wp14="http://schemas.microsoft.com/office/word/2010/wordml" w:rsidP="3971D8C2" wp14:paraId="6E485AB3" wp14:textId="0AB984DA">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破砕玄武岩 (Crushed Basalt / &lt;1.0mm): 20.0%</w:t>
      </w:r>
    </w:p>
    <w:p xmlns:wp14="http://schemas.microsoft.com/office/word/2010/wordml" w:rsidP="3971D8C2" wp14:paraId="7C87B634" wp14:textId="06F76729">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高密度フィラー。シリカの隙間を埋め、熱衝撃耐性と構造的剛性を強化。</w:t>
      </w:r>
    </w:p>
    <w:p xmlns:wp14="http://schemas.microsoft.com/office/word/2010/wordml" w:rsidP="3971D8C2" wp14:paraId="444DF540" wp14:textId="5C7EFAE8">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High-density filler. Fills gaps in silica to enhance thermal shock resistance and structural rigidity.</w:t>
      </w:r>
    </w:p>
    <w:p xmlns:wp14="http://schemas.microsoft.com/office/word/2010/wordml" w:rsidP="3971D8C2" wp14:paraId="03FB78CC" wp14:textId="74F6B43B">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高配向グラファイト (Highly Oriented Graphite / VGCF etc.): 8.0%</w:t>
      </w:r>
    </w:p>
    <w:p xmlns:wp14="http://schemas.microsoft.com/office/word/2010/wordml" w:rsidP="3971D8C2" wp14:paraId="43599B98" wp14:textId="271C38B3">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熱拡散パスの形成。内部熱分布の均一化および金属部材への熱応力集中を回避。</w:t>
      </w:r>
    </w:p>
    <w:p xmlns:wp14="http://schemas.microsoft.com/office/word/2010/wordml" w:rsidP="3971D8C2" wp14:paraId="318232F1" wp14:textId="6CF3D905">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Formation of thermal diffusion paths. Homogenizes heat distribution and prevents thermal stress concentration on metal components.</w:t>
      </w:r>
    </w:p>
    <w:p xmlns:wp14="http://schemas.microsoft.com/office/word/2010/wordml" w:rsidP="3971D8C2" wp14:paraId="455F0567" wp14:textId="4EEB0604">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炭化ケイ素 (Silicon Carbide / SiC): 4.0%</w:t>
      </w:r>
    </w:p>
    <w:p xmlns:wp14="http://schemas.microsoft.com/office/word/2010/wordml" w:rsidP="3971D8C2" wp14:paraId="3B51A0A7" wp14:textId="7704DE1A">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高温域における熱伝導補助および媒体全体の物理的骨格の維持。</w:t>
      </w:r>
    </w:p>
    <w:p xmlns:wp14="http://schemas.microsoft.com/office/word/2010/wordml" w:rsidP="3971D8C2" wp14:paraId="128D18BE" wp14:textId="2A1FC45E">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Thermal conduction aid and maintains physical skeleton at high temperatures.</w:t>
      </w:r>
    </w:p>
    <w:p xmlns:wp14="http://schemas.microsoft.com/office/word/2010/wordml" w:rsidP="3971D8C2" wp14:paraId="5E70D12D" wp14:textId="02F28618">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膨張性マイカ (Expandable Mica): 2.0%</w:t>
      </w:r>
    </w:p>
    <w:p xmlns:wp14="http://schemas.microsoft.com/office/word/2010/wordml" w:rsidP="3971D8C2" wp14:paraId="2A839207" wp14:textId="33EBE516">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熱膨張応力緩衝材。媒体の膨張による外殻構造体への負荷を物理的に抑制。</w:t>
      </w:r>
    </w:p>
    <w:p xmlns:wp14="http://schemas.microsoft.com/office/word/2010/wordml" w:rsidP="3971D8C2" wp14:paraId="1DE8A140" wp14:textId="2D942BEC">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Thermal expansion stress buffer. Physically absorbs expansion stress to reduce structural load.</w:t>
      </w:r>
    </w:p>
    <w:p xmlns:wp14="http://schemas.microsoft.com/office/word/2010/wordml" w:rsidP="3971D8C2" wp14:paraId="5DA839B3" wp14:textId="56A6D960">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窒化ホウ素 (Boron Nitride / BN): 0.8%</w:t>
      </w:r>
    </w:p>
    <w:p xmlns:wp14="http://schemas.microsoft.com/office/word/2010/wordml" w:rsidP="3971D8C2" wp14:paraId="018DBF41" wp14:textId="4CCC7524">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微細誘電率および熱絶縁特性の制御。</w:t>
      </w:r>
    </w:p>
    <w:p xmlns:wp14="http://schemas.microsoft.com/office/word/2010/wordml" w:rsidP="3971D8C2" wp14:paraId="2CB374FF" wp14:textId="2E6D1ABE">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noProof w:val="0"/>
          <w:color w:val="1F1F1F"/>
          <w:sz w:val="21"/>
          <w:szCs w:val="21"/>
          <w:lang w:eastAsia="ja-JP"/>
        </w:rPr>
        <w:t>Dielectric constant and thermal insulation control.</w:t>
      </w:r>
    </w:p>
    <w:p xmlns:wp14="http://schemas.microsoft.com/office/word/2010/wordml" w:rsidP="3971D8C2" wp14:paraId="24571D06" wp14:textId="20A77B6B">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防爆・防食触媒 (Anti-Explosion &amp; Anti-Corrosion Catalyst / MnO₂ &amp; CuO): 0.2%</w:t>
      </w:r>
    </w:p>
    <w:p xmlns:wp14="http://schemas.microsoft.com/office/word/2010/wordml" w:rsidP="3971D8C2" wp14:paraId="1F5D3789" wp14:textId="0ACD459E">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重要:</w:t>
      </w:r>
      <w:r w:rsidRPr="3971D8C2" w:rsidR="4975CEDE">
        <w:rPr>
          <w:rFonts w:ascii="Yu Mincho Regular" w:hAnsi="Yu Mincho Regular" w:eastAsia="Yu Mincho Regular" w:cs="Yu Mincho Regular"/>
          <w:noProof w:val="0"/>
          <w:color w:val="1F1F1F"/>
          <w:sz w:val="21"/>
          <w:szCs w:val="21"/>
          <w:lang w:eastAsia="ja-JP"/>
        </w:rPr>
        <w:t xml:space="preserve"> 内部発生ガスの再結合による安全性確保、および密閉系内の酸化腐食を抑制する。</w:t>
      </w:r>
    </w:p>
    <w:p xmlns:wp14="http://schemas.microsoft.com/office/word/2010/wordml" w:rsidP="3971D8C2" wp14:paraId="64D5CF56" wp14:textId="5444B50F">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CRITICAL:</w:t>
      </w:r>
      <w:r w:rsidRPr="3971D8C2" w:rsidR="4975CEDE">
        <w:rPr>
          <w:rFonts w:ascii="Yu Mincho Regular" w:hAnsi="Yu Mincho Regular" w:eastAsia="Yu Mincho Regular" w:cs="Yu Mincho Regular"/>
          <w:noProof w:val="0"/>
          <w:color w:val="1F1F1F"/>
          <w:sz w:val="21"/>
          <w:szCs w:val="21"/>
          <w:lang w:eastAsia="ja-JP"/>
        </w:rPr>
        <w:t xml:space="preserve"> Ensures safety via gas recombination and suppresses oxidative corrosion.</w:t>
      </w:r>
    </w:p>
    <w:p xmlns:wp14="http://schemas.microsoft.com/office/word/2010/wordml" w:rsidP="3971D8C2" wp14:paraId="3D4E8DF2" wp14:textId="351AEFB3">
      <w:pPr>
        <w:spacing w:before="0" w:beforeAutospacing="off" w:after="0" w:afterAutospacing="off"/>
      </w:pPr>
    </w:p>
    <w:p xmlns:wp14="http://schemas.microsoft.com/office/word/2010/wordml" w:rsidP="3971D8C2" wp14:paraId="635C6E3D" wp14:textId="04EC3886">
      <w:pPr>
        <w:pStyle w:val="Heading2"/>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36"/>
          <w:szCs w:val="36"/>
          <w:lang w:eastAsia="ja-JP"/>
        </w:rPr>
        <w:t>2. 長期信頼性および防食制御 / Long-term Reliability &amp; Corrosion Control</w:t>
      </w:r>
    </w:p>
    <w:p xmlns:wp14="http://schemas.microsoft.com/office/word/2010/wordml" w:rsidP="3971D8C2" wp14:paraId="6C79CF14" wp14:textId="09C08A1B">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金属腐食抑制 (Corrosion Control):</w:t>
      </w:r>
      <w:r w:rsidRPr="3971D8C2" w:rsidR="4975CEDE">
        <w:rPr>
          <w:rFonts w:ascii="Yu Mincho Regular" w:hAnsi="Yu Mincho Regular" w:eastAsia="Yu Mincho Regular" w:cs="Yu Mincho Regular"/>
          <w:noProof w:val="0"/>
          <w:color w:val="1F1F1F"/>
          <w:sz w:val="21"/>
          <w:szCs w:val="21"/>
          <w:lang w:eastAsia="ja-JP"/>
        </w:rPr>
        <w:t xml:space="preserve"> 不活性鉱物と触媒による気相制御により、金属部材に対する腐食性を理論上最小化している。</w:t>
      </w:r>
    </w:p>
    <w:p xmlns:wp14="http://schemas.microsoft.com/office/word/2010/wordml" w:rsidP="3971D8C2" wp14:paraId="7EE050F0" wp14:textId="22A5E38C">
      <w:pPr>
        <w:spacing w:before="24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Corrosivity toward metal parts is theoretically minimized through inert minerals and catalytic phase control.</w:t>
      </w:r>
    </w:p>
    <w:p xmlns:wp14="http://schemas.microsoft.com/office/word/2010/wordml" w:rsidP="3971D8C2" wp14:paraId="74D8173D" wp14:textId="5C519152">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沈降防止 (Anti-Segregation):</w:t>
      </w:r>
      <w:r w:rsidRPr="3971D8C2" w:rsidR="4975CEDE">
        <w:rPr>
          <w:rFonts w:ascii="Yu Mincho Regular" w:hAnsi="Yu Mincho Regular" w:eastAsia="Yu Mincho Regular" w:cs="Yu Mincho Regular"/>
          <w:noProof w:val="0"/>
          <w:color w:val="1F1F1F"/>
          <w:sz w:val="21"/>
          <w:szCs w:val="21"/>
          <w:lang w:eastAsia="ja-JP"/>
        </w:rPr>
        <w:t xml:space="preserve"> 粒径のインターロッキング構造により、長期熱サイクル下での媒体の不均一化を防止する。</w:t>
      </w:r>
    </w:p>
    <w:p xmlns:wp14="http://schemas.microsoft.com/office/word/2010/wordml" w:rsidP="3971D8C2" wp14:paraId="70578FFB" wp14:textId="0E97D387">
      <w:pPr>
        <w:spacing w:before="240" w:beforeAutospacing="off" w:after="240" w:afterAutospacing="off"/>
      </w:pPr>
      <w:r w:rsidRPr="3971D8C2" w:rsidR="4975CEDE">
        <w:rPr>
          <w:rFonts w:ascii="Yu Mincho Regular" w:hAnsi="Yu Mincho Regular" w:eastAsia="Yu Mincho Regular" w:cs="Yu Mincho Regular"/>
          <w:noProof w:val="0"/>
          <w:color w:val="1F1F1F"/>
          <w:sz w:val="21"/>
          <w:szCs w:val="21"/>
          <w:lang w:eastAsia="ja-JP"/>
        </w:rPr>
        <w:t>Interlocking grain structures prevent material segregation over long-term thermal cycling.</w:t>
      </w:r>
    </w:p>
    <w:p xmlns:wp14="http://schemas.microsoft.com/office/word/2010/wordml" w:rsidP="3971D8C2" wp14:paraId="4659350B" wp14:textId="5A2B44B3">
      <w:pPr>
        <w:spacing w:before="0" w:beforeAutospacing="off" w:after="0" w:afterAutospacing="off"/>
      </w:pPr>
    </w:p>
    <w:p xmlns:wp14="http://schemas.microsoft.com/office/word/2010/wordml" w:rsidP="3971D8C2" wp14:paraId="5E49F8C2" wp14:textId="57F29B31">
      <w:pPr>
        <w:pStyle w:val="Heading2"/>
        <w:spacing w:before="0" w:beforeAutospacing="off" w:after="120" w:afterAutospacing="off"/>
      </w:pPr>
      <w:r w:rsidRPr="3971D8C2" w:rsidR="4975CEDE">
        <w:rPr>
          <w:rFonts w:ascii="Yu Mincho Regular" w:hAnsi="Yu Mincho Regular" w:eastAsia="Yu Mincho Regular" w:cs="Yu Mincho Regular"/>
          <w:b w:val="1"/>
          <w:bCs w:val="1"/>
          <w:noProof w:val="0"/>
          <w:color w:val="1F1F1F"/>
          <w:sz w:val="36"/>
          <w:szCs w:val="36"/>
          <w:lang w:eastAsia="ja-JP"/>
        </w:rPr>
        <w:t>3. 知的財産権および免責事項 / IP and Disclaimer</w:t>
      </w:r>
    </w:p>
    <w:p xmlns:wp14="http://schemas.microsoft.com/office/word/2010/wordml" w:rsidP="3971D8C2" wp14:paraId="3EC0F3EC" wp14:textId="3A62DD8F">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AI算出の理論値 (AI-Generated Theory):</w:t>
      </w:r>
      <w:r w:rsidRPr="3971D8C2" w:rsidR="4975CEDE">
        <w:rPr>
          <w:rFonts w:ascii="Yu Mincho Regular" w:hAnsi="Yu Mincho Regular" w:eastAsia="Yu Mincho Regular" w:cs="Yu Mincho Regular"/>
          <w:noProof w:val="0"/>
          <w:color w:val="1F1F1F"/>
          <w:sz w:val="21"/>
          <w:szCs w:val="21"/>
          <w:lang w:eastAsia="ja-JP"/>
        </w:rPr>
        <w:t xml:space="preserve"> 本仕様は無料版Geminiを用いた計算結果であり、計算ミスや理論上の瑕疵が含まれる可能性がある。 / This specification is based on calculations by the free version of Gemini and may contain theoretical errors.</w:t>
      </w:r>
    </w:p>
    <w:p xmlns:wp14="http://schemas.microsoft.com/office/word/2010/wordml" w:rsidP="3971D8C2" wp14:paraId="3E260D9A" wp14:textId="780C5C4F">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パブリックドメイン (Public Domain):</w:t>
      </w:r>
      <w:r w:rsidRPr="3971D8C2" w:rsidR="4975CEDE">
        <w:rPr>
          <w:rFonts w:ascii="Yu Mincho Regular" w:hAnsi="Yu Mincho Regular" w:eastAsia="Yu Mincho Regular" w:cs="Yu Mincho Regular"/>
          <w:noProof w:val="0"/>
          <w:color w:val="1F1F1F"/>
          <w:sz w:val="21"/>
          <w:szCs w:val="21"/>
          <w:lang w:eastAsia="ja-JP"/>
        </w:rPr>
        <w:t xml:space="preserve"> 執筆者は一切の権利を放棄する。 / Author waives all rights.</w:t>
      </w:r>
    </w:p>
    <w:p xmlns:wp14="http://schemas.microsoft.com/office/word/2010/wordml" w:rsidP="3971D8C2" wp14:paraId="2DC7FB6C" wp14:textId="0D61244B">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実証の不在 (No Empirical Testing):</w:t>
      </w:r>
      <w:r w:rsidRPr="3971D8C2" w:rsidR="4975CEDE">
        <w:rPr>
          <w:rFonts w:ascii="Yu Mincho Regular" w:hAnsi="Yu Mincho Regular" w:eastAsia="Yu Mincho Regular" w:cs="Yu Mincho Regular"/>
          <w:noProof w:val="0"/>
          <w:color w:val="1F1F1F"/>
          <w:sz w:val="21"/>
          <w:szCs w:val="21"/>
          <w:lang w:eastAsia="ja-JP"/>
        </w:rPr>
        <w:t xml:space="preserve"> 執筆者は実証を行っておらず、利用者は自己の責任で検証を行うものとする。 / The author has not verified this; users must verify at their own risk.</w:t>
      </w:r>
    </w:p>
    <w:p xmlns:wp14="http://schemas.microsoft.com/office/word/2010/wordml" w:rsidP="3971D8C2" wp14:paraId="1AD5249D" wp14:textId="480CE5C8">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3971D8C2" w:rsidR="4975CEDE">
        <w:rPr>
          <w:rFonts w:ascii="Yu Mincho Regular" w:hAnsi="Yu Mincho Regular" w:eastAsia="Yu Mincho Regular" w:cs="Yu Mincho Regular"/>
          <w:b w:val="1"/>
          <w:bCs w:val="1"/>
          <w:noProof w:val="0"/>
          <w:color w:val="1F1F1F"/>
          <w:sz w:val="21"/>
          <w:szCs w:val="21"/>
          <w:lang w:eastAsia="ja-JP"/>
        </w:rPr>
        <w:t>免責 (Disclaimer):</w:t>
      </w:r>
      <w:r w:rsidRPr="3971D8C2" w:rsidR="4975CEDE">
        <w:rPr>
          <w:rFonts w:ascii="Yu Mincho Regular" w:hAnsi="Yu Mincho Regular" w:eastAsia="Yu Mincho Regular" w:cs="Yu Mincho Regular"/>
          <w:noProof w:val="0"/>
          <w:color w:val="1F1F1F"/>
          <w:sz w:val="21"/>
          <w:szCs w:val="21"/>
          <w:lang w:eastAsia="ja-JP"/>
        </w:rPr>
        <w:t xml:space="preserve"> 執筆者は本情報の利用により生じたいかなる損害についても一切の責任を負わない。 / The author assumes no liability for damages arising from the use of this information.</w:t>
      </w:r>
    </w:p>
    <w:p xmlns:wp14="http://schemas.microsoft.com/office/word/2010/wordml" w:rsidP="3971D8C2" wp14:paraId="1AB247AE" wp14:textId="6A6759B1">
      <w:pPr>
        <w:spacing w:before="0" w:beforeAutospacing="off" w:after="0" w:afterAutospacing="off"/>
      </w:pPr>
    </w:p>
    <w:p xmlns:wp14="http://schemas.microsoft.com/office/word/2010/wordml" wp14:paraId="5BADD4ED" wp14:textId="7AF546B6"/>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9b2af7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38a2d6b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78dbe8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782ac1c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802739"/>
    <w:rsid w:val="23E688B6"/>
    <w:rsid w:val="2D802739"/>
    <w:rsid w:val="3971D8C2"/>
    <w:rsid w:val="4975C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8EA4C6"/>
  <w15:chartTrackingRefBased/>
  <w15:docId w15:val="{78EDE3E2-39ED-4204-A2BE-D038DE9613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c5fce1ac8f749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2026-03-31T00:35:14.4102082Z</dcterms:created>
  <dcterms:modified xsi:type="dcterms:W3CDTF">2026-03-31T00:36:13.1112521Z</dcterms:modified>
  <dc:creator>イブ 時祭</dc:creator>
  <lastModifiedBy>イブ 時祭</lastModifiedBy>
</coreProperties>
</file>