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60"/>
      </w:pPr>
      <w:r>
        <w:rPr>
          <w:rFonts w:ascii="Calibri" w:cs="Calibri" w:eastAsia="Calibri" w:hAnsi="Calibri"/>
          <w:b/>
          <w:bCs/>
          <w:color w:val="B51E21"/>
          <w:sz w:val="18"/>
          <w:szCs w:val="18"/>
        </w:rPr>
        <w:t xml:space="preserve">HEADQUARTERS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A1515"/>
          <w:sz w:val="44"/>
          <w:szCs w:val="44"/>
        </w:rPr>
        <w:t xml:space="preserve">Staff Parking API</w:t>
      </w:r>
    </w:p>
    <w:p>
      <w:pPr>
        <w:spacing w:after="200" w:before="0"/>
      </w:pPr>
      <w:r>
        <w:rPr>
          <w:rFonts w:ascii="Calibri" w:cs="Calibri" w:eastAsia="Calibri" w:hAnsi="Calibri"/>
          <w:color w:val="6B5F5F"/>
          <w:sz w:val="21"/>
          <w:szCs w:val="21"/>
        </w:rPr>
        <w:t xml:space="preserve">For the Intranet team  ·  show an employee their reserved HQ bay after login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EAD8D8" w:sz="8"/>
              <w:left w:val="single" w:color="EAD8D8" w:sz="8"/>
              <w:bottom w:val="single" w:color="EAD8D8" w:sz="8"/>
              <w:right w:val="single" w:color="EAD8D8" w:sz="8"/>
            </w:tcBorders>
            <w:shd w:fill="F8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B51E21"/>
                <w:sz w:val="20"/>
                <w:szCs w:val="20"/>
              </w:rPr>
              <w:t xml:space="preserve">What to build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515"/>
                <w:sz w:val="21"/>
                <w:szCs w:val="21"/>
              </w:rPr>
              <w:t xml:space="preserve">After a staff member signs in to intranet.neweast.cloud, call this API with their email. If Human Resources reserved a parking bay for them, show the ready message. If not, hide the widget.</w:t>
            </w:r>
          </w:p>
        </w:tc>
      </w:tr>
    </w:tbl>
    <w:p>
      <w:pPr>
        <w:pStyle w:val="Heading2"/>
        <w:pBdr>
          <w:bottom w:val="single" w:color="EAD8D8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B51E21"/>
          <w:sz w:val="24"/>
          <w:szCs w:val="24"/>
        </w:rPr>
        <w:t xml:space="preserve">1. Endpoint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c>
          <w:tcPr>
            <w:tcW w:type="dxa" w:w="2800"/>
            <w:tcBorders>
              <w:top w:val="single" w:color="EAD8D8" w:sz="8"/>
              <w:left w:val="single" w:color="EAD8D8" w:sz="8"/>
              <w:bottom w:val="single" w:color="EAD8D8" w:sz="8"/>
              <w:right w:val="single" w:color="EAD8D8" w:sz="8"/>
            </w:tcBorders>
            <w:shd w:fill="F8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51E21"/>
                <w:sz w:val="20"/>
                <w:szCs w:val="20"/>
              </w:rPr>
              <w:t xml:space="preserve">URL</w:t>
            </w:r>
          </w:p>
        </w:tc>
        <w:tc>
          <w:tcPr>
            <w:tcW w:type="dxa" w:w="7666"/>
            <w:tcBorders>
              <w:top w:val="single" w:color="EAD8D8" w:sz="8"/>
              <w:left w:val="single" w:color="EAD8D8" w:sz="8"/>
              <w:bottom w:val="single" w:color="EAD8D8" w:sz="8"/>
              <w:right w:val="single" w:color="EAD8D8" w:sz="8"/>
            </w:tcBorders>
            <w:shd w:fill="F7F4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515"/>
                <w:sz w:val="20"/>
                <w:szCs w:val="20"/>
              </w:rPr>
              <w:t xml:space="preserve">https://guest.neweast.cloud/api/intranet/parking</w:t>
            </w:r>
          </w:p>
        </w:tc>
      </w:tr>
      <w:tr>
        <w:tc>
          <w:tcPr>
            <w:tcW w:type="dxa" w:w="2800"/>
            <w:tcBorders>
              <w:top w:val="single" w:color="EAD8D8" w:sz="8"/>
              <w:left w:val="single" w:color="EAD8D8" w:sz="8"/>
              <w:bottom w:val="single" w:color="EAD8D8" w:sz="8"/>
              <w:right w:val="single" w:color="EAD8D8" w:sz="8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51E21"/>
                <w:sz w:val="20"/>
                <w:szCs w:val="20"/>
              </w:rPr>
              <w:t xml:space="preserve">Methods</w:t>
            </w:r>
          </w:p>
        </w:tc>
        <w:tc>
          <w:tcPr>
            <w:tcW w:type="dxa" w:w="7666"/>
            <w:tcBorders>
              <w:top w:val="single" w:color="EAD8D8" w:sz="8"/>
              <w:left w:val="single" w:color="EAD8D8" w:sz="8"/>
              <w:bottom w:val="single" w:color="EAD8D8" w:sz="8"/>
              <w:right w:val="single" w:color="EAD8D8" w:sz="8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515"/>
                <w:sz w:val="20"/>
                <w:szCs w:val="20"/>
              </w:rPr>
              <w:t xml:space="preserve">GET  or  POST</w:t>
            </w:r>
          </w:p>
        </w:tc>
      </w:tr>
      <w:tr>
        <w:tc>
          <w:tcPr>
            <w:tcW w:type="dxa" w:w="2800"/>
            <w:tcBorders>
              <w:top w:val="single" w:color="EAD8D8" w:sz="8"/>
              <w:left w:val="single" w:color="EAD8D8" w:sz="8"/>
              <w:bottom w:val="single" w:color="EAD8D8" w:sz="8"/>
              <w:right w:val="single" w:color="EAD8D8" w:sz="8"/>
            </w:tcBorders>
            <w:shd w:fill="F8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51E21"/>
                <w:sz w:val="20"/>
                <w:szCs w:val="20"/>
              </w:rPr>
              <w:t xml:space="preserve">CORS</w:t>
            </w:r>
          </w:p>
        </w:tc>
        <w:tc>
          <w:tcPr>
            <w:tcW w:type="dxa" w:w="7666"/>
            <w:tcBorders>
              <w:top w:val="single" w:color="EAD8D8" w:sz="8"/>
              <w:left w:val="single" w:color="EAD8D8" w:sz="8"/>
              <w:bottom w:val="single" w:color="EAD8D8" w:sz="8"/>
              <w:right w:val="single" w:color="EAD8D8" w:sz="8"/>
            </w:tcBorders>
            <w:shd w:fill="F7F4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515"/>
                <w:sz w:val="20"/>
                <w:szCs w:val="20"/>
              </w:rPr>
              <w:t xml:space="preserve">https://intranet.neweast.cloud</w:t>
            </w:r>
          </w:p>
        </w:tc>
      </w:tr>
    </w:tbl>
    <w:p>
      <w:pPr>
        <w:pStyle w:val="Heading2"/>
        <w:pBdr>
          <w:bottom w:val="single" w:color="EAD8D8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B51E21"/>
          <w:sz w:val="24"/>
          <w:szCs w:val="24"/>
        </w:rPr>
        <w:t xml:space="preserve">2. Authentication</w:t>
      </w:r>
    </w:p>
    <w:p>
      <w:pPr>
        <w:spacing w:after="120" w:before="0"/>
      </w:pPr>
      <w:r>
        <w:rPr>
          <w:rFonts w:ascii="Calibri" w:cs="Calibri" w:eastAsia="Calibri" w:hAnsi="Calibri"/>
          <w:color w:val="1A1515"/>
          <w:sz w:val="21"/>
          <w:szCs w:val="21"/>
        </w:rPr>
        <w:t xml:space="preserve">Send the shared key on every request. Prefer calling from intranetapi so the key stays off the public frontend.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c>
          <w:tcPr>
            <w:tcW w:type="dxa" w:w="2800"/>
            <w:tcBorders>
              <w:top w:val="single" w:color="EAD8D8" w:sz="8"/>
              <w:left w:val="single" w:color="EAD8D8" w:sz="8"/>
              <w:bottom w:val="single" w:color="EAD8D8" w:sz="8"/>
              <w:right w:val="single" w:color="EAD8D8" w:sz="8"/>
            </w:tcBorders>
            <w:shd w:fill="F8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51E21"/>
                <w:sz w:val="20"/>
                <w:szCs w:val="20"/>
              </w:rPr>
              <w:t xml:space="preserve">Header</w:t>
            </w:r>
          </w:p>
        </w:tc>
        <w:tc>
          <w:tcPr>
            <w:tcW w:type="dxa" w:w="7666"/>
            <w:tcBorders>
              <w:top w:val="single" w:color="EAD8D8" w:sz="8"/>
              <w:left w:val="single" w:color="EAD8D8" w:sz="8"/>
              <w:bottom w:val="single" w:color="EAD8D8" w:sz="8"/>
              <w:right w:val="single" w:color="EAD8D8" w:sz="8"/>
            </w:tcBorders>
            <w:shd w:fill="F7F4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515"/>
                <w:sz w:val="20"/>
                <w:szCs w:val="20"/>
              </w:rPr>
              <w:t xml:space="preserve">X-Intranet-Key: fd805472684a09d0183f64969ece0e9b144cabcd9ff43f60</w:t>
            </w:r>
          </w:p>
        </w:tc>
      </w:tr>
      <w:tr>
        <w:tc>
          <w:tcPr>
            <w:tcW w:type="dxa" w:w="2800"/>
            <w:tcBorders>
              <w:top w:val="single" w:color="EAD8D8" w:sz="8"/>
              <w:left w:val="single" w:color="EAD8D8" w:sz="8"/>
              <w:bottom w:val="single" w:color="EAD8D8" w:sz="8"/>
              <w:right w:val="single" w:color="EAD8D8" w:sz="8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51E21"/>
                <w:sz w:val="20"/>
                <w:szCs w:val="20"/>
              </w:rPr>
              <w:t xml:space="preserve">Or</w:t>
            </w:r>
          </w:p>
        </w:tc>
        <w:tc>
          <w:tcPr>
            <w:tcW w:type="dxa" w:w="7666"/>
            <w:tcBorders>
              <w:top w:val="single" w:color="EAD8D8" w:sz="8"/>
              <w:left w:val="single" w:color="EAD8D8" w:sz="8"/>
              <w:bottom w:val="single" w:color="EAD8D8" w:sz="8"/>
              <w:right w:val="single" w:color="EAD8D8" w:sz="8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515"/>
                <w:sz w:val="20"/>
                <w:szCs w:val="20"/>
              </w:rPr>
              <w:t xml:space="preserve">Authorization: Bearer fd805472684a09d0183f64969ece0e9b144cabcd9ff43f60</w:t>
            </w:r>
          </w:p>
        </w:tc>
      </w:tr>
    </w:tbl>
    <w:p>
      <w:pPr>
        <w:pStyle w:val="Heading2"/>
        <w:pBdr>
          <w:bottom w:val="single" w:color="EAD8D8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B51E21"/>
          <w:sz w:val="24"/>
          <w:szCs w:val="24"/>
        </w:rPr>
        <w:t xml:space="preserve">3. Identify the signed-in employee</w:t>
      </w:r>
    </w:p>
    <w:p>
      <w:pPr>
        <w:spacing w:after="120" w:before="0"/>
      </w:pPr>
      <w:r>
        <w:rPr>
          <w:rFonts w:ascii="Calibri" w:cs="Calibri" w:eastAsia="Calibri" w:hAnsi="Calibri"/>
          <w:color w:val="1A1515"/>
          <w:sz w:val="21"/>
          <w:szCs w:val="21"/>
        </w:rPr>
        <w:t xml:space="preserve">Send one of these. Email is preferred — use USER_EMAIL from intranet login. .co and .com addresses both match.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c>
          <w:tcPr>
            <w:tcW w:type="dxa" w:w="2800"/>
            <w:tcBorders>
              <w:top w:val="single" w:color="EAD8D8" w:sz="8"/>
              <w:left w:val="single" w:color="EAD8D8" w:sz="8"/>
              <w:bottom w:val="single" w:color="EAD8D8" w:sz="8"/>
              <w:right w:val="single" w:color="EAD8D8" w:sz="8"/>
            </w:tcBorders>
            <w:shd w:fill="F8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51E21"/>
                <w:sz w:val="20"/>
                <w:szCs w:val="20"/>
              </w:rPr>
              <w:t xml:space="preserve">email</w:t>
            </w:r>
          </w:p>
        </w:tc>
        <w:tc>
          <w:tcPr>
            <w:tcW w:type="dxa" w:w="7666"/>
            <w:tcBorders>
              <w:top w:val="single" w:color="EAD8D8" w:sz="8"/>
              <w:left w:val="single" w:color="EAD8D8" w:sz="8"/>
              <w:bottom w:val="single" w:color="EAD8D8" w:sz="8"/>
              <w:right w:val="single" w:color="EAD8D8" w:sz="8"/>
            </w:tcBorders>
            <w:shd w:fill="F7F4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515"/>
                <w:sz w:val="20"/>
                <w:szCs w:val="20"/>
              </w:rPr>
              <w:t xml:space="preserve">USER_EMAIL   e.g. sakour@neweast.co</w:t>
            </w:r>
          </w:p>
        </w:tc>
      </w:tr>
      <w:tr>
        <w:tc>
          <w:tcPr>
            <w:tcW w:type="dxa" w:w="2800"/>
            <w:tcBorders>
              <w:top w:val="single" w:color="EAD8D8" w:sz="8"/>
              <w:left w:val="single" w:color="EAD8D8" w:sz="8"/>
              <w:bottom w:val="single" w:color="EAD8D8" w:sz="8"/>
              <w:right w:val="single" w:color="EAD8D8" w:sz="8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51E21"/>
                <w:sz w:val="20"/>
                <w:szCs w:val="20"/>
              </w:rPr>
              <w:t xml:space="preserve">empId</w:t>
            </w:r>
          </w:p>
        </w:tc>
        <w:tc>
          <w:tcPr>
            <w:tcW w:type="dxa" w:w="7666"/>
            <w:tcBorders>
              <w:top w:val="single" w:color="EAD8D8" w:sz="8"/>
              <w:left w:val="single" w:color="EAD8D8" w:sz="8"/>
              <w:bottom w:val="single" w:color="EAD8D8" w:sz="8"/>
              <w:right w:val="single" w:color="EAD8D8" w:sz="8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515"/>
                <w:sz w:val="20"/>
                <w:szCs w:val="20"/>
              </w:rPr>
              <w:t xml:space="preserve">EMP_ID / payroll number   e.g. 101908</w:t>
            </w:r>
          </w:p>
        </w:tc>
      </w:tr>
    </w:tbl>
    <w:p>
      <w:pPr>
        <w:pStyle w:val="Heading2"/>
        <w:pBdr>
          <w:bottom w:val="single" w:color="EAD8D8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B51E21"/>
          <w:sz w:val="24"/>
          <w:szCs w:val="24"/>
        </w:rPr>
        <w:t xml:space="preserve">4. Call it after login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6B5F5F"/>
          <w:sz w:val="20"/>
          <w:szCs w:val="20"/>
        </w:rPr>
        <w:t xml:space="preserve">GET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EAD8D8" w:sz="8"/>
              <w:left w:val="single" w:color="EAD8D8" w:sz="8"/>
              <w:bottom w:val="single" w:color="EAD8D8" w:sz="8"/>
              <w:right w:val="single" w:color="EAD8D8" w:sz="8"/>
            </w:tcBorders>
            <w:shd w:fill="F7F4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1A1515"/>
                <w:sz w:val="18"/>
                <w:szCs w:val="18"/>
              </w:rPr>
              <w:t xml:space="preserve">GET https://guest.neweast.cloud/api/intranet/parking?email=sakour@neweast.co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515"/>
                <w:sz w:val="18"/>
                <w:szCs w:val="18"/>
              </w:rPr>
              <w:t xml:space="preserve">X-Intranet-Key: fd805472684a09d0183f64969ece0e9b144cabcd9ff43f60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6B5F5F"/>
          <w:sz w:val="20"/>
          <w:szCs w:val="20"/>
        </w:rPr>
        <w:t xml:space="preserve">POST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EAD8D8" w:sz="8"/>
              <w:left w:val="single" w:color="EAD8D8" w:sz="8"/>
              <w:bottom w:val="single" w:color="EAD8D8" w:sz="8"/>
              <w:right w:val="single" w:color="EAD8D8" w:sz="8"/>
            </w:tcBorders>
            <w:shd w:fill="F7F4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1A1515"/>
                <w:sz w:val="18"/>
                <w:szCs w:val="18"/>
              </w:rPr>
              <w:t xml:space="preserve">POST https://guest.neweast.cloud/api/intranet/parking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1A1515"/>
                <w:sz w:val="18"/>
                <w:szCs w:val="18"/>
              </w:rPr>
              <w:t xml:space="preserve">X-Intranet-Key: fd805472684a09d0183f64969ece0e9b144cabcd9ff43f60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1A1515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1A1515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515"/>
                <w:sz w:val="18"/>
                <w:szCs w:val="18"/>
              </w:rPr>
              <w:t xml:space="preserve">{ "email": "sakour@neweast.co" }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6B5F5F"/>
          <w:sz w:val="20"/>
          <w:szCs w:val="20"/>
        </w:rPr>
        <w:t xml:space="preserve">JavaScript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EAD8D8" w:sz="8"/>
              <w:left w:val="single" w:color="EAD8D8" w:sz="8"/>
              <w:bottom w:val="single" w:color="EAD8D8" w:sz="8"/>
              <w:right w:val="single" w:color="EAD8D8" w:sz="8"/>
            </w:tcBorders>
            <w:shd w:fill="F7F4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1A1515"/>
                <w:sz w:val="18"/>
                <w:szCs w:val="18"/>
              </w:rPr>
              <w:t xml:space="preserve">const res = await fetch(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1A1515"/>
                <w:sz w:val="18"/>
                <w:szCs w:val="18"/>
              </w:rPr>
              <w:t xml:space="preserve">  "https://guest.neweast.cloud/api/intranet/parking?email=" + encodeURIComponent(userEmail),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1A1515"/>
                <w:sz w:val="18"/>
                <w:szCs w:val="18"/>
              </w:rPr>
              <w:t xml:space="preserve">  { headers: { "X-Intranet-Key": KEY } }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1A1515"/>
                <w:sz w:val="18"/>
                <w:szCs w:val="18"/>
              </w:rPr>
              <w:t xml:space="preserve">);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1A1515"/>
                <w:sz w:val="18"/>
                <w:szCs w:val="18"/>
              </w:rPr>
              <w:t xml:space="preserve">const parking = await res.json();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515"/>
                <w:sz w:val="18"/>
                <w:szCs w:val="18"/>
              </w:rPr>
              <w:t xml:space="preserve">if (parking.assigned) showBanner(parking.message);</w:t>
            </w:r>
          </w:p>
        </w:tc>
      </w:tr>
    </w:tbl>
    <w:p>
      <w:pPr>
        <w:pStyle w:val="Heading2"/>
        <w:pBdr>
          <w:bottom w:val="single" w:color="EAD8D8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B51E21"/>
          <w:sz w:val="24"/>
          <w:szCs w:val="24"/>
        </w:rPr>
        <w:t xml:space="preserve">5. Response when they have a bay</w:t>
      </w:r>
    </w:p>
    <w:p>
      <w:pPr>
        <w:spacing w:after="80" w:before="0"/>
      </w:pPr>
      <w:r>
        <w:rPr>
          <w:rFonts w:ascii="Calibri" w:cs="Calibri" w:eastAsia="Calibri" w:hAnsi="Calibri"/>
          <w:color w:val="6B5F5F"/>
          <w:sz w:val="20"/>
          <w:szCs w:val="20"/>
        </w:rPr>
        <w:t xml:space="preserve">HTTP 200  ·  show parking.message on the home screen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EAD8D8" w:sz="8"/>
              <w:left w:val="single" w:color="EAD8D8" w:sz="8"/>
              <w:bottom w:val="single" w:color="EAD8D8" w:sz="8"/>
              <w:right w:val="single" w:color="EAD8D8" w:sz="8"/>
            </w:tcBorders>
            <w:shd w:fill="F3F7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1A1515"/>
                <w:sz w:val="18"/>
                <w:szCs w:val="18"/>
              </w:rPr>
              <w:t xml:space="preserve">{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1A1515"/>
                <w:sz w:val="18"/>
                <w:szCs w:val="18"/>
              </w:rPr>
              <w:t xml:space="preserve">  "assigned": true,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1A1515"/>
                <w:sz w:val="18"/>
                <w:szCs w:val="18"/>
              </w:rPr>
              <w:t xml:space="preserve">  "name": "Jad Sakour",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1A1515"/>
                <w:sz w:val="18"/>
                <w:szCs w:val="18"/>
              </w:rPr>
              <w:t xml:space="preserve">  "slot": "C33",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1A1515"/>
                <w:sz w:val="18"/>
                <w:szCs w:val="18"/>
              </w:rPr>
              <w:t xml:space="preserve">  "zone": "C",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1A1515"/>
                <w:sz w:val="18"/>
                <w:szCs w:val="18"/>
              </w:rPr>
              <w:t xml:space="preserve">  "number": 33,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1A1515"/>
                <w:sz w:val="18"/>
                <w:szCs w:val="18"/>
              </w:rPr>
              <w:t xml:space="preserve">  "section": 1,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1A1515"/>
                <w:sz w:val="18"/>
                <w:szCs w:val="18"/>
              </w:rPr>
              <w:t xml:space="preserve">  "plate": "AD-22-75348",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1A1515"/>
                <w:sz w:val="18"/>
                <w:szCs w:val="18"/>
              </w:rPr>
              <w:t xml:space="preserve">  "vehicleType": "SUV",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1A1515"/>
                <w:sz w:val="18"/>
                <w:szCs w:val="18"/>
              </w:rPr>
              <w:t xml:space="preserve">  "label": "Parking number 33 in Zone C",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1A1515"/>
                <w:sz w:val="18"/>
                <w:szCs w:val="18"/>
              </w:rPr>
              <w:t xml:space="preserve">  "message": "Your parking bay is number 33 in Zone C."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515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pBdr>
          <w:bottom w:val="single" w:color="EAD8D8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B51E21"/>
          <w:sz w:val="24"/>
          <w:szCs w:val="24"/>
        </w:rPr>
        <w:t xml:space="preserve">6. Response when they do not</w:t>
      </w:r>
    </w:p>
    <w:p>
      <w:pPr>
        <w:spacing w:after="80" w:before="0"/>
      </w:pPr>
      <w:r>
        <w:rPr>
          <w:rFonts w:ascii="Calibri" w:cs="Calibri" w:eastAsia="Calibri" w:hAnsi="Calibri"/>
          <w:color w:val="6B5F5F"/>
          <w:sz w:val="20"/>
          <w:szCs w:val="20"/>
        </w:rPr>
        <w:t xml:space="preserve">HTTP 200  ·  do not show a parking widget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EAD8D8" w:sz="8"/>
              <w:left w:val="single" w:color="EAD8D8" w:sz="8"/>
              <w:bottom w:val="single" w:color="EAD8D8" w:sz="8"/>
              <w:right w:val="single" w:color="EAD8D8" w:sz="8"/>
            </w:tcBorders>
            <w:shd w:fill="F3F7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515"/>
                <w:sz w:val="18"/>
                <w:szCs w:val="18"/>
              </w:rPr>
              <w:t xml:space="preserve">{ "assigned": false }</w:t>
            </w:r>
          </w:p>
        </w:tc>
      </w:tr>
    </w:tbl>
    <w:p>
      <w:pPr>
        <w:pStyle w:val="Heading2"/>
        <w:pBdr>
          <w:bottom w:val="single" w:color="EAD8D8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B51E21"/>
          <w:sz w:val="24"/>
          <w:szCs w:val="24"/>
        </w:rPr>
        <w:t xml:space="preserve">7. Errors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c>
          <w:tcPr>
            <w:tcW w:type="dxa" w:w="2800"/>
            <w:tcBorders>
              <w:top w:val="single" w:color="EAD8D8" w:sz="8"/>
              <w:left w:val="single" w:color="EAD8D8" w:sz="8"/>
              <w:bottom w:val="single" w:color="EAD8D8" w:sz="8"/>
              <w:right w:val="single" w:color="EAD8D8" w:sz="8"/>
            </w:tcBorders>
            <w:shd w:fill="F8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51E21"/>
                <w:sz w:val="20"/>
                <w:szCs w:val="20"/>
              </w:rPr>
              <w:t xml:space="preserve">401  { "error": "Unauthorized." }</w:t>
            </w:r>
          </w:p>
        </w:tc>
        <w:tc>
          <w:tcPr>
            <w:tcW w:type="dxa" w:w="7666"/>
            <w:tcBorders>
              <w:top w:val="single" w:color="EAD8D8" w:sz="8"/>
              <w:left w:val="single" w:color="EAD8D8" w:sz="8"/>
              <w:bottom w:val="single" w:color="EAD8D8" w:sz="8"/>
              <w:right w:val="single" w:color="EAD8D8" w:sz="8"/>
            </w:tcBorders>
            <w:shd w:fill="F7F4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515"/>
                <w:sz w:val="20"/>
                <w:szCs w:val="20"/>
              </w:rPr>
              <w:t xml:space="preserve">Missing or wrong key</w:t>
            </w:r>
          </w:p>
        </w:tc>
      </w:tr>
      <w:tr>
        <w:tc>
          <w:tcPr>
            <w:tcW w:type="dxa" w:w="2800"/>
            <w:tcBorders>
              <w:top w:val="single" w:color="EAD8D8" w:sz="8"/>
              <w:left w:val="single" w:color="EAD8D8" w:sz="8"/>
              <w:bottom w:val="single" w:color="EAD8D8" w:sz="8"/>
              <w:right w:val="single" w:color="EAD8D8" w:sz="8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51E21"/>
                <w:sz w:val="20"/>
                <w:szCs w:val="20"/>
              </w:rPr>
              <w:t xml:space="preserve">400  { "error": "Send email or empId." }</w:t>
            </w:r>
          </w:p>
        </w:tc>
        <w:tc>
          <w:tcPr>
            <w:tcW w:type="dxa" w:w="7666"/>
            <w:tcBorders>
              <w:top w:val="single" w:color="EAD8D8" w:sz="8"/>
              <w:left w:val="single" w:color="EAD8D8" w:sz="8"/>
              <w:bottom w:val="single" w:color="EAD8D8" w:sz="8"/>
              <w:right w:val="single" w:color="EAD8D8" w:sz="8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515"/>
                <w:sz w:val="20"/>
                <w:szCs w:val="20"/>
              </w:rPr>
              <w:t xml:space="preserve">No identifier sent</w:t>
            </w:r>
          </w:p>
        </w:tc>
      </w:tr>
      <w:tr>
        <w:tc>
          <w:tcPr>
            <w:tcW w:type="dxa" w:w="2800"/>
            <w:tcBorders>
              <w:top w:val="single" w:color="EAD8D8" w:sz="8"/>
              <w:left w:val="single" w:color="EAD8D8" w:sz="8"/>
              <w:bottom w:val="single" w:color="EAD8D8" w:sz="8"/>
              <w:right w:val="single" w:color="EAD8D8" w:sz="8"/>
            </w:tcBorders>
            <w:shd w:fill="F8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51E21"/>
                <w:sz w:val="20"/>
                <w:szCs w:val="20"/>
              </w:rPr>
              <w:t xml:space="preserve">503</w:t>
            </w:r>
          </w:p>
        </w:tc>
        <w:tc>
          <w:tcPr>
            <w:tcW w:type="dxa" w:w="7666"/>
            <w:tcBorders>
              <w:top w:val="single" w:color="EAD8D8" w:sz="8"/>
              <w:left w:val="single" w:color="EAD8D8" w:sz="8"/>
              <w:bottom w:val="single" w:color="EAD8D8" w:sz="8"/>
              <w:right w:val="single" w:color="EAD8D8" w:sz="8"/>
            </w:tcBorders>
            <w:shd w:fill="F7F4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1515"/>
                <w:sz w:val="20"/>
                <w:szCs w:val="20"/>
              </w:rPr>
              <w:t xml:space="preserve">API key is not configured on Guest Management</w:t>
            </w:r>
          </w:p>
        </w:tc>
      </w:tr>
    </w:tbl>
    <w:p>
      <w:pPr>
        <w:pStyle w:val="Heading2"/>
        <w:pBdr>
          <w:bottom w:val="single" w:color="EAD8D8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B51E21"/>
          <w:sz w:val="24"/>
          <w:szCs w:val="24"/>
        </w:rPr>
        <w:t xml:space="preserve">8. Notes</w:t>
      </w:r>
    </w:p>
    <w:p>
      <w:pPr>
        <w:spacing w:after="60" w:before="0"/>
      </w:pPr>
      <w:r>
        <w:rPr>
          <w:rFonts w:ascii="Calibri" w:cs="Calibri" w:eastAsia="Calibri" w:hAnsi="Calibri"/>
          <w:color w:val="1A1515"/>
          <w:sz w:val="21"/>
          <w:szCs w:val="21"/>
        </w:rPr>
        <w:t xml:space="preserve">Call this only after intranet login, for the signed-in person — never let one employee query another.</w:t>
      </w:r>
    </w:p>
    <w:p>
      <w:pPr>
        <w:spacing w:after="60" w:before="0"/>
      </w:pPr>
      <w:r>
        <w:rPr>
          <w:rFonts w:ascii="Calibri" w:cs="Calibri" w:eastAsia="Calibri" w:hAnsi="Calibri"/>
          <w:color w:val="1A1515"/>
          <w:sz w:val="21"/>
          <w:szCs w:val="21"/>
        </w:rPr>
        <w:t xml:space="preserve">Keep the key on the server (intranetapi.neweast.cloud) if you can. It is a shared secret, not a public token.</w:t>
      </w:r>
    </w:p>
    <w:p>
      <w:pPr>
        <w:spacing w:after="60" w:before="0"/>
      </w:pPr>
      <w:r>
        <w:rPr>
          <w:rFonts w:ascii="Calibri" w:cs="Calibri" w:eastAsia="Calibri" w:hAnsi="Calibri"/>
          <w:color w:val="1A1515"/>
          <w:sz w:val="21"/>
          <w:szCs w:val="21"/>
        </w:rPr>
        <w:t xml:space="preserve">Unknown emails and people with no reserved bay both return assigned: false. That is intentional.</w:t>
      </w:r>
    </w:p>
    <w:p>
      <w:pPr>
        <w:spacing w:after="0" w:before="0"/>
      </w:pPr>
      <w:r>
        <w:rPr>
          <w:rFonts w:ascii="Calibri" w:cs="Calibri" w:eastAsia="Calibri" w:hAnsi="Calibri"/>
          <w:color w:val="6B5F5F"/>
          <w:sz w:val="21"/>
          <w:szCs w:val="21"/>
        </w:rPr>
        <w:t xml:space="preserve">Questions: Guest Management on guest.neweast.cloud  ·  Administration assigns bays from Assign parking.</w:t>
      </w:r>
    </w:p>
    <w:sectPr>
      <w:headerReference w:type="default" r:id="rId6"/>
      <w:footerReference w:type="default" r:id="rId7"/>
      <w:pgSz w:w="11906" w:h="16838" w:orient="portrait"/>
      <w:pgMar w:top="640" w:right="720" w:bottom="64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AD8D8" w:sz="8" w:space="6"/>
      </w:pBdr>
      <w:spacing w:before="80"/>
    </w:pPr>
    <w:r>
      <w:rPr>
        <w:rFonts w:ascii="Calibri" w:cs="Calibri" w:eastAsia="Calibri" w:hAnsi="Calibri"/>
        <w:color w:val="6B5F5F"/>
        <w:sz w:val="16"/>
        <w:szCs w:val="16"/>
      </w:rPr>
      <w:t xml:space="preserve">NEWEAST Guest Management  ·  Internal — do not publish the key  ·  </w:t>
    </w:r>
    <w:r>
      <w:rPr>
        <w:rFonts w:ascii="Calibri" w:cs="Calibri" w:eastAsia="Calibri" w:hAnsi="Calibri"/>
        <w:color w:val="6B5F5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6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466"/>
    </w:tblGrid>
    <w:tr>
      <w:tc>
        <w:tcPr>
          <w:tcW w:type="dxa" w:w="10466"/>
          <w:tcBorders>
            <w:top w:val="none" w:color="FFFFFF" w:sz="0"/>
            <w:left w:val="none" w:color="FFFFFF" w:sz="0"/>
            <w:bottom w:val="single" w:color="B51E21" w:sz="16"/>
            <w:right w:val="none" w:color="FFFFFF" w:sz="0"/>
          </w:tcBorders>
          <w:tcMar>
            <w:bottom w:type="dxa" w:w="80"/>
          </w:tcMar>
        </w:tcPr>
        <w:p>
          <w:pPr>
            <w:spacing w:after="0"/>
          </w:pPr>
          <w:r>
            <w:drawing>
              <wp:inline distT="0" distB="0" distL="0" distR="0">
                <wp:extent cx="1257300" cy="2667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a0ab91fc7a397a61e96cf3b61bcac7e1aece60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2026-10-02T09:14:15.137Z</dcterms:created>
  <dcterms:modified xsi:type="dcterms:W3CDTF">2026-10-02T09:14:15.137Z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