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Nisserwaard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Langsingerland: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Midden-Delfland: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(BBZ)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</w:t>
      </w:r>
      <w:r>
        <w:rPr>
          <w:sz w:val="24"/>
          <w:szCs w:val="24"/>
        </w:rPr>
        <w:t xml:space="preserve"> &lt;=&gt; Formulier toestemming reizen met minderjarige kinderen naar het buitenland (rijksoverheid.nl)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Illegale bouw en gebruik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 xml:space="preserve">- Ondernemen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Sociaal Medische Indicatie Kinderopvang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 xml:space="preserve">- groepen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>Centraal Onthaal Jongeren =&gt; onder dakloos zoeken =&gt; 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9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LibreOffice/5.1.6.2$Linux_X86_64 LibreOffice_project/10m0$Build-2</Application>
  <Pages>4</Pages>
  <Words>559</Words>
  <Characters>3954</Characters>
  <CharactersWithSpaces>4357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2019-09-14T19:08:19Z</dcterms:modified>
  <cp:revision>47</cp:revision>
  <dc:subject/>
  <dc:title/>
</cp:coreProperties>
</file>