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pPr>
      <w:r>
        <w:rPr>
          <w:b/>
          <w:bCs/>
          <w:i w:val="false"/>
          <w:iCs w:val="false"/>
        </w:rPr>
        <w:t xml:space="preserve">– </w:t>
      </w:r>
      <w:r>
        <w:rPr>
          <w:b/>
          <w:bCs/>
          <w:i w:val="false"/>
          <w:iCs w:val="false"/>
        </w:rPr>
        <w:t>Verzoek Contact Zorgondersteuning – Melding Ondersteuningsvraag</w:t>
      </w:r>
    </w:p>
    <w:p>
      <w:pPr>
        <w:pStyle w:val="Normal"/>
        <w:rPr/>
      </w:pPr>
      <w:r>
        <w:rPr>
          <w:b/>
          <w:bCs/>
          <w:i w:val="false"/>
          <w:iCs w:val="false"/>
        </w:rPr>
        <w:t xml:space="preserve">– </w:t>
      </w:r>
      <w:r>
        <w:rPr>
          <w:b/>
          <w:bCs/>
          <w:i w:val="false"/>
          <w:iCs w:val="false"/>
        </w:rPr>
        <w:t>Verkoop recreatieoord Hoek van Holland</w:t>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u w:val="single"/>
        </w:rPr>
      </w:pPr>
      <w:r>
        <w:rPr>
          <w:b/>
          <w:bCs/>
          <w:sz w:val="24"/>
          <w:szCs w:val="24"/>
          <w:u w:val="none"/>
        </w:rPr>
        <w:t xml:space="preserve">- </w:t>
      </w:r>
      <w:r>
        <w:rPr>
          <w:b w:val="false"/>
          <w:bCs w:val="false"/>
          <w:sz w:val="24"/>
          <w:szCs w:val="24"/>
          <w:u w:val="single"/>
        </w:rPr>
        <w:t xml:space="preserve">Bestuurlijke informatie &lt;=&gt; Onderzoek en Business Intelligence </w:t>
      </w:r>
      <w:r>
        <w:rPr>
          <w:b w:val="false"/>
          <w:bCs w:val="false"/>
          <w:sz w:val="24"/>
          <w:szCs w:val="24"/>
          <w:u w:val="single"/>
        </w:rPr>
        <w:t>&lt;=&gt; verzoek WOB</w:t>
      </w:r>
    </w:p>
    <w:p>
      <w:pPr>
        <w:pStyle w:val="Normal"/>
        <w:rPr/>
      </w:pPr>
      <w:r>
        <w:rPr>
          <w:sz w:val="24"/>
          <w:szCs w:val="24"/>
        </w:rPr>
        <w:t xml:space="preserve">- </w:t>
      </w:r>
      <w:r>
        <w:rPr>
          <w:sz w:val="24"/>
          <w:szCs w:val="24"/>
          <w:u w:val="single"/>
        </w:rPr>
        <w:t>Burenakkoord &lt;=&gt; Omgevingsvergunning</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xml:space="preserve">- </w:t>
      </w:r>
      <w:r>
        <w:rPr>
          <w:sz w:val="24"/>
          <w:szCs w:val="24"/>
          <w:u w:val="single"/>
        </w:rPr>
        <w:t>Dringend een woning nodig &lt;=&gt; Huisvesting voor leraren, politie agenten en mensen in de zorg</w:t>
      </w:r>
    </w:p>
    <w:p>
      <w:pPr>
        <w:pStyle w:val="Normal"/>
        <w:rPr/>
      </w:pPr>
      <w:r>
        <w:rPr>
          <w:sz w:val="24"/>
          <w:szCs w:val="24"/>
        </w:rPr>
        <w:t xml:space="preserve">– </w:t>
      </w:r>
      <w:r>
        <w:rPr>
          <w:sz w:val="24"/>
          <w:szCs w:val="24"/>
        </w:rPr>
        <w:t>Energievouchers</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Informatie uittreksel historische adressen voor bezichtigen woning</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pPr>
      <w:r>
        <w:rPr>
          <w:sz w:val="24"/>
          <w:szCs w:val="24"/>
        </w:rPr>
        <w:t>–</w:t>
      </w:r>
      <w:r>
        <w:rPr>
          <w:sz w:val="24"/>
          <w:szCs w:val="24"/>
        </w:rPr>
        <w:t>Overlijden/Huwelijken (piketnummer)</w:t>
      </w:r>
    </w:p>
    <w:p>
      <w:pPr>
        <w:pStyle w:val="Normal"/>
        <w:rPr/>
      </w:pPr>
      <w:r>
        <w:rPr>
          <w:sz w:val="24"/>
          <w:szCs w:val="24"/>
        </w:rPr>
        <w:t>- Probleem in parkeergarage van de gemeente Rotterdam</w:t>
      </w:r>
    </w:p>
    <w:p>
      <w:pPr>
        <w:pStyle w:val="Normal"/>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4"/>
          <w:szCs w:val="24"/>
        </w:rPr>
        <w:t xml:space="preserve">– </w:t>
      </w:r>
      <w:r>
        <w:rPr>
          <w:sz w:val="24"/>
          <w:szCs w:val="24"/>
          <w:u w:val="single"/>
        </w:rPr>
        <w:t>Rioolaansluitvergunning &lt;=&gt; Leidingvergunning</w:t>
      </w:r>
    </w:p>
    <w:p>
      <w:pPr>
        <w:pStyle w:val="Normal"/>
        <w:rPr/>
      </w:pPr>
      <w:r>
        <w:rPr>
          <w:sz w:val="26"/>
          <w:szCs w:val="26"/>
        </w:rPr>
        <w:t xml:space="preserve">- </w:t>
      </w:r>
      <w:r>
        <w:rPr>
          <w:sz w:val="26"/>
          <w:szCs w:val="26"/>
          <w:u w:val="single"/>
        </w:rPr>
        <w:t>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pPr>
      <w:r>
        <w:rPr>
          <w:sz w:val="24"/>
          <w:szCs w:val="24"/>
        </w:rPr>
        <w:t xml:space="preserve">– </w:t>
      </w:r>
      <w:r>
        <w:rPr>
          <w:sz w:val="24"/>
          <w:szCs w:val="24"/>
        </w:rPr>
        <w:t>Verklaring Voorgenomen Huwelijk</w:t>
      </w:r>
    </w:p>
    <w:p>
      <w:pPr>
        <w:pStyle w:val="Normal"/>
        <w:rPr/>
      </w:pPr>
      <w:r>
        <w:rPr>
          <w:sz w:val="24"/>
          <w:szCs w:val="24"/>
        </w:rPr>
        <w:t xml:space="preserve">– </w:t>
      </w:r>
      <w:r>
        <w:rPr>
          <w:sz w:val="24"/>
          <w:szCs w:val="24"/>
        </w:rPr>
        <w:t xml:space="preserve">Voor- en Vroegschoolse Educatie (Rotterdamse </w:t>
      </w:r>
      <w:r>
        <w:rPr>
          <w:b/>
          <w:bCs/>
          <w:sz w:val="24"/>
          <w:szCs w:val="24"/>
        </w:rPr>
        <w:t>Peuter</w:t>
      </w:r>
      <w:r>
        <w:rPr>
          <w:sz w:val="24"/>
          <w:szCs w:val="24"/>
        </w:rPr>
        <w:t>groep)</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 (notaris)</w:t>
      </w:r>
    </w:p>
    <w:p>
      <w:pPr>
        <w:pStyle w:val="Normal"/>
        <w:rPr/>
      </w:pPr>
      <w:r>
        <w:rPr>
          <w:sz w:val="24"/>
          <w:szCs w:val="24"/>
        </w:rPr>
        <w:t>- Gebruikers van de basisregistratie (rijksoverheid.nl)</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 xml:space="preserve">Mijn Afspraken en </w:t>
            </w:r>
            <w:r>
              <w:rPr/>
              <w:t>Aanvragen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b w:val="false"/>
          <w:b w:val="false"/>
          <w:bCs w:val="false"/>
        </w:rPr>
      </w:pPr>
      <w:r>
        <w:rPr>
          <w:b w:val="false"/>
          <w:bCs w:val="false"/>
          <w:sz w:val="26"/>
          <w:szCs w:val="26"/>
        </w:rPr>
        <w:t xml:space="preserve">– </w:t>
      </w:r>
      <w:r>
        <w:rPr>
          <w:b w:val="false"/>
          <w:bCs w:val="false"/>
          <w:sz w:val="26"/>
          <w:szCs w:val="26"/>
        </w:rPr>
        <w:t>Inschrijving werknemer uit het buitenland</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Jongerenloket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pPr>
            <w:r>
              <w:rPr>
                <w:b w:val="false"/>
                <w:bCs w:val="false"/>
                <w:i w:val="false"/>
                <w:iCs w:val="false"/>
                <w:strike w:val="false"/>
                <w:dstrike w:val="false"/>
                <w:outline w:val="false"/>
                <w:shadow w:val="false"/>
                <w:color w:val="000000"/>
                <w:sz w:val="24"/>
                <w:szCs w:val="24"/>
                <w:u w:val="none"/>
              </w:rPr>
              <w:t>Duurzaam010</w:t>
            </w:r>
          </w:p>
          <w:p>
            <w:pPr>
              <w:pStyle w:val="TableContents"/>
              <w:jc w:val="left"/>
              <w:rPr/>
            </w:pPr>
            <w:r>
              <w:rPr>
                <w:b w:val="false"/>
                <w:bCs w:val="false"/>
                <w:i w:val="false"/>
                <w:iCs w:val="false"/>
                <w:strike w:val="false"/>
                <w:dstrike w:val="false"/>
                <w:outline w:val="false"/>
                <w:shadow w:val="false"/>
                <w:color w:val="000000"/>
                <w:sz w:val="24"/>
                <w:szCs w:val="24"/>
                <w:u w:val="none"/>
              </w:rPr>
              <w:t>Bodeminformatie en bodemkwaliteit</w:t>
            </w:r>
          </w:p>
          <w:p>
            <w:pPr>
              <w:pStyle w:val="TableContents"/>
              <w:jc w:val="left"/>
              <w:rPr/>
            </w:pPr>
            <w:r>
              <w:rPr>
                <w:b w:val="false"/>
                <w:bCs w:val="false"/>
                <w:i w:val="false"/>
                <w:iCs w:val="false"/>
                <w:strike w:val="false"/>
                <w:dstrike w:val="false"/>
                <w:outline w:val="false"/>
                <w:shadow w:val="false"/>
                <w:color w:val="000000"/>
                <w:sz w:val="24"/>
                <w:szCs w:val="24"/>
                <w:u w:val="none"/>
              </w:rPr>
              <w:t>Informatiepunt asbest</w:t>
            </w:r>
          </w:p>
        </w:tc>
      </w:tr>
    </w:tbl>
    <w:p>
      <w:pPr>
        <w:pStyle w:val="Normal"/>
        <w:rPr>
          <w:b/>
          <w:b/>
          <w:bCs/>
          <w:sz w:val="26"/>
          <w:szCs w:val="26"/>
        </w:rPr>
      </w:pPr>
      <w:r>
        <w:rPr>
          <w:b/>
          <w:bCs/>
          <w:sz w:val="26"/>
          <w:szCs w:val="26"/>
        </w:rPr>
      </w:r>
    </w:p>
    <w:p>
      <w:pPr>
        <w:pStyle w:val="Normal"/>
        <w:rPr/>
      </w:pPr>
      <w:r>
        <w:rPr>
          <w:sz w:val="26"/>
          <w:szCs w:val="26"/>
        </w:rPr>
        <w:t>www.jeugdtegoed.nl</w:t>
      </w:r>
    </w:p>
    <w:p>
      <w:pPr>
        <w:pStyle w:val="Normal"/>
        <w:rPr>
          <w:sz w:val="26"/>
          <w:szCs w:val="26"/>
        </w:rPr>
      </w:pPr>
      <w:r>
        <w:rPr>
          <w:sz w:val="26"/>
          <w:szCs w:val="26"/>
        </w:rPr>
        <w:t>www.aowtegoed.nl</w:t>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sz w:val="26"/>
          <w:szCs w:val="26"/>
        </w:rPr>
      </w:pPr>
      <w:r>
        <w:rPr>
          <w:sz w:val="26"/>
          <w:szCs w:val="26"/>
        </w:rPr>
        <w:t>Winkeltijdenwet Incidentele Ontheffing</w:t>
      </w:r>
    </w:p>
    <w:p>
      <w:pPr>
        <w:pStyle w:val="Normal"/>
        <w:numPr>
          <w:ilvl w:val="0"/>
          <w:numId w:val="3"/>
        </w:numPr>
        <w:rPr>
          <w:sz w:val="26"/>
          <w:szCs w:val="26"/>
        </w:rPr>
      </w:pPr>
      <w:r>
        <w:rPr>
          <w:sz w:val="26"/>
          <w:szCs w:val="26"/>
        </w:rPr>
        <w:t>Winkeltijdenwet Permanente Ontheffing</w:t>
      </w:r>
    </w:p>
    <w:p>
      <w:pPr>
        <w:pStyle w:val="Normal"/>
        <w:numPr>
          <w:ilvl w:val="0"/>
          <w:numId w:val="3"/>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Heb ik toestemming nodig om alleen met mijn kind te reizen? (rijksoverheid.nl + tel;.nr.!)</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Paspoort:</w:t>
      </w:r>
    </w:p>
    <w:p>
      <w:pPr>
        <w:pStyle w:val="Normal"/>
        <w:rPr>
          <w:sz w:val="26"/>
          <w:szCs w:val="26"/>
        </w:rPr>
      </w:pPr>
      <w:r>
        <w:rPr>
          <w:sz w:val="26"/>
          <w:szCs w:val="26"/>
        </w:rPr>
        <mc:AlternateContent>
          <mc:Choice Requires="wps">
            <w:drawing>
              <wp:anchor behindDoc="0" distT="0" distB="0" distL="0" distR="0" simplePos="0" locked="0" layoutInCell="1" allowOverlap="1" relativeHeight="2">
                <wp:simplePos x="0" y="0"/>
                <wp:positionH relativeFrom="column">
                  <wp:posOffset>1972945</wp:posOffset>
                </wp:positionH>
                <wp:positionV relativeFrom="paragraph">
                  <wp:posOffset>-897890</wp:posOffset>
                </wp:positionV>
                <wp:extent cx="810895" cy="2444115"/>
                <wp:effectExtent l="0" t="0" r="0" b="0"/>
                <wp:wrapNone/>
                <wp:docPr id="1" name="Shape1"/>
                <a:graphic xmlns:a="http://schemas.openxmlformats.org/drawingml/2006/main">
                  <a:graphicData uri="http://schemas.microsoft.com/office/word/2010/wordprocessingShape">
                    <wps:wsp>
                      <wps:cNvSpPr/>
                      <wps:spPr>
                        <a:xfrm>
                          <a:off x="0" y="0"/>
                          <a:ext cx="808920" cy="24429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85.9pt,-35.1pt" to="149.55pt,157.2pt" ID="Shape1" stroked="t" style="position:absolute">
                <v:stroke color="#3465a4" startarrow="block" endarrow="block" startarrowwidth="medium" startarrowlength="medium" endarrowwidth="medium" endarrowlength="medium" joinstyle="round" endcap="flat"/>
                <v:fill o:detectmouseclick="t" on="false"/>
              </v:line>
            </w:pict>
          </mc:Fallback>
        </mc:AlternateContent>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top w:val="single" w:sz="2" w:space="0" w:color="000000"/>
              <w:left w:val="single" w:sz="2" w:space="0" w:color="000000"/>
            </w:tcBorders>
            <w:shd w:fill="auto" w:val="clear"/>
          </w:tcPr>
          <w:p>
            <w:pPr>
              <w:pStyle w:val="TableContents"/>
              <w:jc w:val="center"/>
              <w:rPr/>
            </w:pPr>
            <w:r>
              <w:rPr/>
              <w:t>12 – 17</w:t>
            </w:r>
          </w:p>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t>-aanvragen en afhalen mag door het kind zelf.</w:t>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Ik ga trouwen: stap 1: schema documenten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2">
        <w:r>
          <w:rPr>
            <w:rStyle w:val="InternetLink"/>
          </w:rPr>
          <w:t>www.rotterdam.nl/mantelzorgwaardering</w:t>
        </w:r>
      </w:hyperlink>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mantelzorgwaarder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366</TotalTime>
  <Application>LibreOffice/6.1.5.2$Linux_X86_64 LibreOffice_project/10$Build-2</Application>
  <Pages>9</Pages>
  <Words>1625</Words>
  <Characters>10927</Characters>
  <CharactersWithSpaces>12230</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2021-09-05T11:41:42Z</cp:lastPrinted>
  <dcterms:modified xsi:type="dcterms:W3CDTF">2021-09-18T19:22:46Z</dcterms:modified>
  <cp:revision>216</cp:revision>
  <dc:subject/>
  <dc:title/>
</cp:coreProperties>
</file>