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line="300" w:lineRule="auto"/>
      </w:pPr>
      <w:r>
        <w:rPr>
          <w:rFonts w:ascii="Calibri" w:hAnsi="Calibri"/>
          <w:b w:val="0"/>
          <w:i w:val="0"/>
          <w:color w:val="151515"/>
          <w:sz w:val="22"/>
        </w:rPr>
      </w:r>
    </w:p>
    <w:p>
      <w:pPr>
        <w:keepNext w:val="0"/>
        <w:spacing w:before="0" w:after="240" w:line="300" w:lineRule="auto"/>
      </w:pPr>
      <w:r>
        <w:rPr>
          <w:rFonts w:ascii="Calibri" w:hAnsi="Calibri"/>
          <w:b w:val="0"/>
          <w:i w:val="0"/>
          <w:color w:val="151515"/>
          <w:sz w:val="22"/>
        </w:rPr>
      </w:r>
    </w:p>
    <w:p>
      <w:pPr>
        <w:keepNext w:val="0"/>
        <w:spacing w:before="0" w:after="240" w:line="300" w:lineRule="auto"/>
      </w:pPr>
      <w:r>
        <w:rPr>
          <w:rFonts w:ascii="Calibri" w:hAnsi="Calibri"/>
          <w:b w:val="0"/>
          <w:i w:val="0"/>
          <w:color w:val="151515"/>
          <w:sz w:val="22"/>
        </w:rPr>
      </w:r>
    </w:p>
    <w:p>
      <w:pPr>
        <w:keepNext w:val="0"/>
        <w:spacing w:before="0" w:after="240" w:line="300" w:lineRule="auto"/>
      </w:pPr>
      <w:r>
        <w:rPr>
          <w:rFonts w:ascii="Calibri" w:hAnsi="Calibri"/>
          <w:b w:val="0"/>
          <w:i w:val="0"/>
          <w:color w:val="151515"/>
          <w:sz w:val="22"/>
        </w:rPr>
      </w:r>
    </w:p>
    <w:p>
      <w:pPr>
        <w:keepNext w:val="0"/>
        <w:spacing w:before="0" w:after="320" w:line="300" w:lineRule="auto"/>
        <w:jc w:val="center"/>
      </w:pPr>
      <w:r>
        <w:rPr>
          <w:rFonts w:ascii="Calibri" w:hAnsi="Calibri"/>
          <w:b/>
          <w:i w:val="0"/>
          <w:color w:val="FF5A1F"/>
          <w:sz w:val="19"/>
        </w:rPr>
        <w:t>LOYALTY ECONOMY  /  FOUNDER MASTER PLAN</w:t>
      </w:r>
    </w:p>
    <w:p>
      <w:pPr>
        <w:keepNext w:val="0"/>
        <w:spacing w:before="0" w:after="100" w:line="300" w:lineRule="auto"/>
        <w:jc w:val="center"/>
      </w:pPr>
      <w:r>
        <w:rPr>
          <w:rFonts w:ascii="Calibri" w:hAnsi="Calibri"/>
          <w:b/>
          <w:i w:val="0"/>
          <w:color w:val="151515"/>
          <w:sz w:val="64"/>
        </w:rPr>
        <w:t>HOMIES LOOP</w:t>
      </w:r>
    </w:p>
    <w:p>
      <w:pPr>
        <w:keepNext w:val="0"/>
        <w:spacing w:before="0" w:after="200" w:line="300" w:lineRule="auto"/>
        <w:jc w:val="center"/>
      </w:pPr>
      <w:r>
        <w:rPr>
          <w:rFonts w:ascii="Calibri" w:hAnsi="Calibri"/>
          <w:b/>
          <w:i w:val="0"/>
          <w:color w:val="FF5A1F"/>
          <w:sz w:val="42"/>
        </w:rPr>
        <w:t>The retained-user growth system</w:t>
      </w:r>
    </w:p>
    <w:p>
      <w:pPr>
        <w:keepNext w:val="0"/>
        <w:spacing w:before="0" w:after="480" w:line="300" w:lineRule="auto"/>
        <w:jc w:val="center"/>
      </w:pPr>
      <w:r>
        <w:rPr>
          <w:rFonts w:ascii="Calibri" w:hAnsi="Calibri"/>
          <w:b w:val="0"/>
          <w:i w:val="0"/>
          <w:color w:val="626262"/>
          <w:sz w:val="25"/>
        </w:rPr>
        <w:t>One transparent currency. One three-scene habit loop. Social rewards that grow only after users prove real intent.</w:t>
      </w:r>
    </w:p>
    <w:tbl>
      <w:tblPr>
        <w:tblW w:type="dxa" w:w="9360"/>
        <w:jc w:val="left"/>
        <w:tblLayout w:type="fixed"/>
        <w:tblLook w:firstColumn="1" w:firstRow="1" w:lastColumn="0" w:lastRow="0" w:noHBand="0" w:noVBand="1" w:val="04A0"/>
        <w:tblInd w:w="120" w:type="dxa"/>
      </w:tblPr>
      <w:tblGrid>
        <w:gridCol w:w="9360"/>
      </w:tblGrid>
      <w:tr>
        <w:tc>
          <w:tcPr>
            <w:tcW w:type="dxa" w:w="9360"/>
            <w:shd w:fill="FFF0E8"/>
            <w:tcMar>
              <w:top w:w="80" w:type="dxa"/>
              <w:start w:w="120" w:type="dxa"/>
              <w:bottom w:w="80" w:type="dxa"/>
              <w:end w:w="120" w:type="dxa"/>
            </w:tcMar>
          </w:tcPr>
          <w:p>
            <w:pPr>
              <w:spacing w:after="0" w:line="276" w:lineRule="auto"/>
            </w:pPr>
            <w:r/>
            <w:r>
              <w:rPr>
                <w:rFonts w:ascii="Calibri" w:hAnsi="Calibri"/>
                <w:b/>
                <w:i w:val="0"/>
                <w:color w:val="FF5A1F"/>
                <w:sz w:val="18"/>
              </w:rPr>
              <w:t xml:space="preserve">CORE DECISION  </w:t>
            </w:r>
            <w:r>
              <w:rPr>
                <w:rFonts w:ascii="Calibri" w:hAnsi="Calibri"/>
                <w:b/>
                <w:i w:val="0"/>
                <w:color w:val="151515"/>
                <w:sz w:val="22"/>
              </w:rPr>
              <w:t>Spend the entire ₹2,000 pilot on completed booking two. Make booking three and referrals feel richer through partner-funded Drops, earned access, status and Squad progress—not another cash subsidy.</w:t>
            </w:r>
          </w:p>
        </w:tc>
      </w:tr>
    </w:tbl>
    <w:p>
      <w:pPr>
        <w:spacing w:after="20"/>
      </w:pPr>
    </w:p>
    <w:p>
      <w:pPr>
        <w:keepNext w:val="0"/>
        <w:spacing w:before="0" w:after="60" w:line="300" w:lineRule="auto"/>
        <w:jc w:val="center"/>
      </w:pPr>
      <w:r>
        <w:rPr>
          <w:rFonts w:ascii="Calibri" w:hAnsi="Calibri"/>
          <w:b/>
          <w:i w:val="0"/>
          <w:color w:val="626262"/>
          <w:sz w:val="18"/>
        </w:rPr>
        <w:t>CANONICAL VERSION  •  INDIA  •  26 AUGUST 2026</w:t>
      </w:r>
    </w:p>
    <w:p>
      <w:pPr>
        <w:keepNext w:val="0"/>
        <w:spacing w:before="0" w:after="120" w:line="300" w:lineRule="auto"/>
        <w:jc w:val="center"/>
      </w:pPr>
      <w:r>
        <w:rPr>
          <w:rFonts w:ascii="Calibri" w:hAnsi="Calibri"/>
          <w:b w:val="0"/>
          <w:i/>
          <w:color w:val="626262"/>
          <w:sz w:val="18"/>
        </w:rPr>
        <w:t>For product, growth, finance, partnerships, engineering and support</w:t>
      </w:r>
    </w:p>
    <w:p>
      <w:r>
        <w:br w:type="page"/>
      </w:r>
    </w:p>
    <w:p>
      <w:pPr>
        <w:pStyle w:val="Heading1"/>
      </w:pPr>
      <w:r>
        <w:t>The decision in one page</w:t>
      </w:r>
    </w:p>
    <w:p>
      <w:pPr>
        <w:keepNext w:val="0"/>
        <w:spacing w:before="0" w:after="120" w:line="300" w:lineRule="auto"/>
      </w:pPr>
      <w:r>
        <w:rPr>
          <w:rFonts w:ascii="Calibri" w:hAnsi="Calibri"/>
          <w:b w:val="0"/>
          <w:i w:val="0"/>
          <w:color w:val="151515"/>
          <w:sz w:val="22"/>
        </w:rPr>
        <w:t>HOMIES LOOP is not a points wallet with random coupons. It is a deliberately sequenced retention engine: complete one real activity, receive a powerful reason to return, complete a second activity, then unlock social and experiential advantages that make the third and later bookings feel like membership—not discount dependence.</w:t>
      </w:r>
    </w:p>
    <w:tbl>
      <w:tblPr>
        <w:tblW w:type="dxa" w:w="9360"/>
        <w:jc w:val="left"/>
        <w:tblLayout w:type="fixed"/>
        <w:tblLook w:firstColumn="1" w:firstRow="1" w:lastColumn="0" w:lastRow="0" w:noHBand="0" w:noVBand="1" w:val="04A0"/>
        <w:tblInd w:w="120" w:type="dxa"/>
      </w:tblPr>
      <w:tblGrid>
        <w:gridCol w:w="2016"/>
        <w:gridCol w:w="4392"/>
        <w:gridCol w:w="2952"/>
      </w:tblGrid>
      <w:tr>
        <w:trPr>
          <w:tblHeader w:val="true"/>
        </w:trPr>
        <w:tc>
          <w:tcPr>
            <w:tcW w:type="dxa" w:w="201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Layer</w:t>
            </w:r>
          </w:p>
        </w:tc>
        <w:tc>
          <w:tcPr>
            <w:tcW w:type="dxa" w:w="439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Canonical rule</w:t>
            </w:r>
          </w:p>
        </w:tc>
        <w:tc>
          <w:tcPr>
            <w:tcW w:type="dxa" w:w="295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Primary job</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HOMIE Coins (HC)</w:t>
            </w:r>
          </w:p>
        </w:tc>
        <w:tc>
          <w:tcPr>
            <w:tcW w:type="dxa" w:w="439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100 HC = ₹1; show HC and ₹ together everywhere</w:t>
            </w:r>
          </w:p>
        </w:tc>
        <w:tc>
          <w:tcPr>
            <w:tcW w:type="dxa" w:w="29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Transparent spendable value</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The 3-Scene Loop</w:t>
            </w:r>
          </w:p>
        </w:tc>
        <w:tc>
          <w:tcPr>
            <w:tcW w:type="dxa" w:w="439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Visible Scene 1 → 2 → 3 journey that restarts</w:t>
            </w:r>
          </w:p>
        </w:tc>
        <w:tc>
          <w:tcPr>
            <w:tcW w:type="dxa" w:w="295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Short, attainable behavioral progress</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Second Scene Key</w:t>
            </w:r>
          </w:p>
        </w:tc>
        <w:tc>
          <w:tcPr>
            <w:tcW w:type="dxa" w:w="439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₹40 for first 50 eligible users; 21 days; booking ≥₹399</w:t>
            </w:r>
          </w:p>
        </w:tc>
        <w:tc>
          <w:tcPr>
            <w:tcW w:type="dxa" w:w="29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Convert first-time users into repeat users</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Choose Your Next Scene</w:t>
            </w:r>
          </w:p>
        </w:tc>
        <w:tc>
          <w:tcPr>
            <w:tcW w:type="dxa" w:w="439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After booking two, pick a Drop, Save, or Squad route</w:t>
            </w:r>
          </w:p>
        </w:tc>
        <w:tc>
          <w:tcPr>
            <w:tcW w:type="dxa" w:w="295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Agency and booking-three intent</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Earned Invites</w:t>
            </w:r>
          </w:p>
        </w:tc>
        <w:tc>
          <w:tcPr>
            <w:tcW w:type="dxa" w:w="439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Referral privileges unlock only after booking two</w:t>
            </w:r>
          </w:p>
        </w:tc>
        <w:tc>
          <w:tcPr>
            <w:tcW w:type="dxa" w:w="29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Higher-quality organic acquisition</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Squad Vault</w:t>
            </w:r>
          </w:p>
        </w:tc>
        <w:tc>
          <w:tcPr>
            <w:tcW w:type="dxa" w:w="439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3–5 verified friends; progress, not pooled cash</w:t>
            </w:r>
          </w:p>
        </w:tc>
        <w:tc>
          <w:tcPr>
            <w:tcW w:type="dxa" w:w="295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Group retention and network growth</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Vibe XP + status</w:t>
            </w:r>
          </w:p>
        </w:tc>
        <w:tc>
          <w:tcPr>
            <w:tcW w:type="dxa" w:w="439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Non-spendable progress; New Homie / Regular / OG</w:t>
            </w:r>
          </w:p>
        </w:tc>
        <w:tc>
          <w:tcPr>
            <w:tcW w:type="dxa" w:w="29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Identity, access and recognition</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Margin Governor</w:t>
            </w:r>
          </w:p>
        </w:tc>
        <w:tc>
          <w:tcPr>
            <w:tcW w:type="dxa" w:w="439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Total cost ≤ min(1% GMV, 20% positive CM0) after pilot</w:t>
            </w:r>
          </w:p>
        </w:tc>
        <w:tc>
          <w:tcPr>
            <w:tcW w:type="dxa" w:w="295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Automatic profitability transition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shd w:fill="FFF0E8"/>
            <w:tcMar>
              <w:top w:w="80" w:type="dxa"/>
              <w:start w:w="120" w:type="dxa"/>
              <w:bottom w:w="80" w:type="dxa"/>
              <w:end w:w="120" w:type="dxa"/>
            </w:tcMar>
          </w:tcPr>
          <w:p>
            <w:pPr>
              <w:spacing w:after="0" w:line="276" w:lineRule="auto"/>
            </w:pPr>
            <w:r/>
            <w:r>
              <w:rPr>
                <w:rFonts w:ascii="Calibri" w:hAnsi="Calibri"/>
                <w:b/>
                <w:i w:val="0"/>
                <w:color w:val="FF5A1F"/>
                <w:sz w:val="18"/>
              </w:rPr>
              <w:t xml:space="preserve">LAUNCH PROMISE  </w:t>
            </w:r>
            <w:r>
              <w:rPr>
                <w:rFonts w:ascii="Calibri" w:hAnsi="Calibri"/>
                <w:b/>
                <w:i w:val="0"/>
                <w:color w:val="151515"/>
                <w:sz w:val="22"/>
              </w:rPr>
              <w:t>100 HC is always worth ₹1 on eligible HOMIES bookings. HOMIES never hides the rupee value, retroactively devalues vested Coins, or relies on users failing to redeem.</w:t>
            </w:r>
          </w:p>
        </w:tc>
      </w:tr>
    </w:tbl>
    <w:p>
      <w:pPr>
        <w:spacing w:after="20"/>
      </w:pPr>
    </w:p>
    <w:p>
      <w:pPr>
        <w:pStyle w:val="Heading1"/>
      </w:pPr>
      <w:r>
        <w:t>Why this unified version wins</w:t>
      </w:r>
    </w:p>
    <w:p>
      <w:pPr>
        <w:pStyle w:val="ListBullet"/>
        <w:keepLines/>
        <w:widowControl/>
        <w:spacing w:after="100" w:line="300" w:lineRule="auto"/>
      </w:pPr>
      <w:r>
        <w:rPr>
          <w:rFonts w:ascii="Calibri" w:hAnsi="Calibri"/>
          <w:b w:val="0"/>
          <w:i w:val="0"/>
          <w:color w:val="151515"/>
          <w:sz w:val="21"/>
        </w:rPr>
        <w:t xml:space="preserve"> It prioritizes retained users over vanity installs: no money for sign-ups, taps, daily check-ins, uncompleted referrals, cancellations or reviews before verification.</w:t>
      </w:r>
    </w:p>
    <w:p>
      <w:pPr>
        <w:pStyle w:val="ListBullet"/>
        <w:keepLines/>
        <w:widowControl/>
        <w:spacing w:after="100" w:line="300" w:lineRule="auto"/>
      </w:pPr>
      <w:r>
        <w:rPr>
          <w:rFonts w:ascii="Calibri" w:hAnsi="Calibri"/>
          <w:b w:val="0"/>
          <w:i w:val="0"/>
          <w:color w:val="151515"/>
          <w:sz w:val="21"/>
        </w:rPr>
        <w:t xml:space="preserve"> It concentrates the only external burn where it changes the retention curve: booking two.</w:t>
      </w:r>
    </w:p>
    <w:p>
      <w:pPr>
        <w:pStyle w:val="ListBullet"/>
        <w:keepLines/>
        <w:widowControl/>
        <w:spacing w:after="100" w:line="300" w:lineRule="auto"/>
      </w:pPr>
      <w:r>
        <w:rPr>
          <w:rFonts w:ascii="Calibri" w:hAnsi="Calibri"/>
          <w:b w:val="0"/>
          <w:i w:val="0"/>
          <w:color w:val="151515"/>
          <w:sz w:val="21"/>
        </w:rPr>
        <w:t xml:space="preserve"> It keeps booking three emotionally strong without exceeding ₹2,000 by using partner inventory, access, upgrades, social progress and earned privileges.</w:t>
      </w:r>
    </w:p>
    <w:p>
      <w:pPr>
        <w:pStyle w:val="ListBullet"/>
        <w:keepLines/>
        <w:widowControl/>
        <w:spacing w:after="100" w:line="300" w:lineRule="auto"/>
      </w:pPr>
      <w:r>
        <w:rPr>
          <w:rFonts w:ascii="Calibri" w:hAnsi="Calibri"/>
          <w:b w:val="0"/>
          <w:i w:val="0"/>
          <w:color w:val="151515"/>
          <w:sz w:val="21"/>
        </w:rPr>
        <w:t xml:space="preserve"> It feels abundant through a large HC balance, visible progress and high-value Drops, but the rupee value remains honest.</w:t>
      </w:r>
    </w:p>
    <w:p>
      <w:pPr>
        <w:pStyle w:val="ListBullet"/>
        <w:keepLines/>
        <w:widowControl/>
        <w:spacing w:after="100" w:line="300" w:lineRule="auto"/>
      </w:pPr>
      <w:r>
        <w:rPr>
          <w:rFonts w:ascii="Calibri" w:hAnsi="Calibri"/>
          <w:b w:val="0"/>
          <w:i w:val="0"/>
          <w:color w:val="151515"/>
          <w:sz w:val="21"/>
        </w:rPr>
        <w:t xml:space="preserve"> It transitions to profit by changing who funds future value—not by weakening users’ earned balances.</w:t>
      </w:r>
    </w:p>
    <w:p>
      <w:pPr>
        <w:keepNext w:val="0"/>
        <w:spacing w:before="0" w:after="120" w:line="300" w:lineRule="auto"/>
      </w:pPr>
      <w:r>
        <w:rPr>
          <w:rFonts w:ascii="Calibri" w:hAnsi="Calibri"/>
          <w:b w:val="0"/>
          <w:i/>
          <w:color w:val="626262"/>
          <w:sz w:val="19"/>
        </w:rPr>
        <w:t>“Unique” here means the combined system and sequencing are distinctive and defensible. It is not an unverifiable claim that no company anywhere has used an individual component.</w:t>
      </w:r>
    </w:p>
    <w:p>
      <w:pPr>
        <w:pStyle w:val="Heading1"/>
      </w:pPr>
      <w:r>
        <w:t>The three-scene retention engine</w:t>
      </w:r>
    </w:p>
    <w:tbl>
      <w:tblPr>
        <w:tblW w:type="dxa" w:w="9360"/>
        <w:jc w:val="left"/>
        <w:tblLayout w:type="fixed"/>
        <w:tblLook w:firstColumn="1" w:firstRow="1" w:lastColumn="0" w:lastRow="0" w:noHBand="0" w:noVBand="1" w:val="04A0"/>
        <w:tblInd w:w="120" w:type="dxa"/>
      </w:tblPr>
      <w:tblGrid>
        <w:gridCol w:w="1512"/>
        <w:gridCol w:w="3960"/>
        <w:gridCol w:w="2376"/>
        <w:gridCol w:w="1512"/>
      </w:tblGrid>
      <w:tr>
        <w:trPr>
          <w:tblHeader w:val="true"/>
        </w:trPr>
        <w:tc>
          <w:tcPr>
            <w:tcW w:type="dxa" w:w="151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Moment</w:t>
            </w:r>
          </w:p>
        </w:tc>
        <w:tc>
          <w:tcPr>
            <w:tcW w:type="dxa" w:w="396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What the user sees</w:t>
            </w:r>
          </w:p>
        </w:tc>
        <w:tc>
          <w:tcPr>
            <w:tcW w:type="dxa" w:w="237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What HOMIES is buying</w:t>
            </w:r>
          </w:p>
        </w:tc>
        <w:tc>
          <w:tcPr>
            <w:tcW w:type="dxa" w:w="151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Cash source</w:t>
            </w:r>
          </w:p>
        </w:tc>
      </w:tr>
      <w:tr>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Join</w:t>
            </w:r>
          </w:p>
        </w:tc>
        <w:tc>
          <w:tcPr>
            <w:tcW w:type="dxa" w:w="39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“Your first Loop has started: 1 of 3 milestones live.”</w:t>
            </w:r>
          </w:p>
        </w:tc>
        <w:tc>
          <w:tcPr>
            <w:tcW w:type="dxa" w:w="237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Endowed progress, no fake money</w:t>
            </w:r>
          </w:p>
        </w:tc>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₹0</w:t>
            </w:r>
          </w:p>
        </w:tc>
      </w:tr>
      <w:tr>
        <w:tc>
          <w:tcPr>
            <w:tcW w:type="dxa" w:w="15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Scene 1 completed</w:t>
            </w:r>
          </w:p>
        </w:tc>
        <w:tc>
          <w:tcPr>
            <w:tcW w:type="dxa" w:w="39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Base HC vests. Eligible pilot user receives a ₹40 Second Scene Key.</w:t>
            </w:r>
          </w:p>
        </w:tc>
        <w:tc>
          <w:tcPr>
            <w:tcW w:type="dxa" w:w="237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 return within 21 days</w:t>
            </w:r>
          </w:p>
        </w:tc>
        <w:tc>
          <w:tcPr>
            <w:tcW w:type="dxa" w:w="15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₹2,000 pilot pool</w:t>
            </w:r>
          </w:p>
        </w:tc>
      </w:tr>
      <w:tr>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Scene 2 completed</w:t>
            </w:r>
          </w:p>
        </w:tc>
        <w:tc>
          <w:tcPr>
            <w:tcW w:type="dxa" w:w="39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Choose Your Next Scene: Save Coins, claim a Drop, or activate Squad route. Earned Invites unlock.</w:t>
            </w:r>
          </w:p>
        </w:tc>
        <w:tc>
          <w:tcPr>
            <w:tcW w:type="dxa" w:w="237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Booking-three intent + qualified referrals</w:t>
            </w:r>
          </w:p>
        </w:tc>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 / positive margin</w:t>
            </w:r>
          </w:p>
        </w:tc>
      </w:tr>
      <w:tr>
        <w:tc>
          <w:tcPr>
            <w:tcW w:type="dxa" w:w="15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Scene 3 completed</w:t>
            </w:r>
          </w:p>
        </w:tc>
        <w:tc>
          <w:tcPr>
            <w:tcW w:type="dxa" w:w="39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Loop Complete badge, Vibe XP, status progress and a new themed Loop.</w:t>
            </w:r>
          </w:p>
        </w:tc>
        <w:tc>
          <w:tcPr>
            <w:tcW w:type="dxa" w:w="237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Habit, identity and category discovery</w:t>
            </w:r>
          </w:p>
        </w:tc>
        <w:tc>
          <w:tcPr>
            <w:tcW w:type="dxa" w:w="15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Near-zero / partner funded</w:t>
            </w:r>
          </w:p>
        </w:tc>
      </w:tr>
      <w:tr>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Later loops</w:t>
            </w:r>
          </w:p>
        </w:tc>
        <w:tc>
          <w:tcPr>
            <w:tcW w:type="dxa" w:w="39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Smart Boosts only for off-peak, new-category or reactivation behavior.</w:t>
            </w:r>
          </w:p>
        </w:tc>
        <w:tc>
          <w:tcPr>
            <w:tcW w:type="dxa" w:w="237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Incremental demand, not subsidized habit</w:t>
            </w:r>
          </w:p>
        </w:tc>
        <w:tc>
          <w:tcPr>
            <w:tcW w:type="dxa" w:w="15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 / margin governor</w:t>
            </w:r>
          </w:p>
        </w:tc>
      </w:tr>
    </w:tbl>
    <w:p>
      <w:pPr>
        <w:spacing w:after="20"/>
      </w:pPr>
    </w:p>
    <w:p>
      <w:pPr>
        <w:pStyle w:val="Heading1"/>
      </w:pPr>
      <w:r>
        <w:t>1. The ₹2,000 Second Scene pilot</w:t>
      </w:r>
    </w:p>
    <w:tbl>
      <w:tblPr>
        <w:tblW w:type="dxa" w:w="9360"/>
        <w:jc w:val="left"/>
        <w:tblLayout w:type="fixed"/>
        <w:tblLook w:firstColumn="1" w:firstRow="1" w:lastColumn="0" w:lastRow="0" w:noHBand="0" w:noVBand="1" w:val="04A0"/>
        <w:tblInd w:w="120" w:type="dxa"/>
      </w:tblPr>
      <w:tblGrid>
        <w:gridCol w:w="9360"/>
      </w:tblGrid>
      <w:tr>
        <w:tc>
          <w:tcPr>
            <w:tcW w:type="dxa" w:w="9360"/>
            <w:shd w:fill="FFF0E8"/>
            <w:tcMar>
              <w:top w:w="80" w:type="dxa"/>
              <w:start w:w="120" w:type="dxa"/>
              <w:bottom w:w="80" w:type="dxa"/>
              <w:end w:w="120" w:type="dxa"/>
            </w:tcMar>
          </w:tcPr>
          <w:p>
            <w:pPr>
              <w:spacing w:after="0" w:line="276" w:lineRule="auto"/>
            </w:pPr>
            <w:r/>
            <w:r>
              <w:rPr>
                <w:rFonts w:ascii="Calibri" w:hAnsi="Calibri"/>
                <w:b/>
                <w:i w:val="0"/>
                <w:color w:val="FF5A1F"/>
                <w:sz w:val="18"/>
              </w:rPr>
              <w:t xml:space="preserve">MAXIMUM RETENTION SETTING  </w:t>
            </w:r>
            <w:r>
              <w:rPr>
                <w:rFonts w:ascii="Calibri" w:hAnsi="Calibri"/>
                <w:b/>
                <w:i w:val="0"/>
                <w:color w:val="151515"/>
                <w:sz w:val="22"/>
              </w:rPr>
              <w:t>First 50 eligible completers receive one ₹40 Second Scene Key. The key is not earned at install; it unlocks only after Scene 1 is completed and is redeemed only on Scene 2.</w:t>
            </w:r>
          </w:p>
        </w:tc>
      </w:tr>
    </w:tbl>
    <w:p>
      <w:pPr>
        <w:spacing w:after="20"/>
      </w:pPr>
    </w:p>
    <w:tbl>
      <w:tblPr>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Control</w:t>
            </w:r>
          </w:p>
        </w:tc>
        <w:tc>
          <w:tcPr>
            <w:tcW w:type="dxa" w:w="720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Exact launch rule</w:t>
            </w:r>
          </w:p>
        </w:tc>
      </w:tr>
      <w:tr>
        <w:tc>
          <w:tcPr>
            <w:tcW w:type="dxa" w:w="21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Cohort</w:t>
            </w:r>
          </w:p>
        </w:tc>
        <w:tc>
          <w:tcPr>
            <w:tcW w:type="dxa" w:w="720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First 50 eligible Indian users whose first paid activity completes successfully.</w:t>
            </w:r>
          </w:p>
        </w:tc>
      </w:tr>
      <w:tr>
        <w:tc>
          <w:tcPr>
            <w:tcW w:type="dxa" w:w="21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Unlock</w:t>
            </w:r>
          </w:p>
        </w:tc>
        <w:tc>
          <w:tcPr>
            <w:tcW w:type="dxa" w:w="720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4,000 HC promotional bucket, displayed as “₹40 Second Scene Key.”</w:t>
            </w:r>
          </w:p>
        </w:tc>
      </w:tr>
      <w:tr>
        <w:tc>
          <w:tcPr>
            <w:tcW w:type="dxa" w:w="21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Use window</w:t>
            </w:r>
          </w:p>
        </w:tc>
        <w:tc>
          <w:tcPr>
            <w:tcW w:type="dxa" w:w="720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21 days from Scene 1 completion.</w:t>
            </w:r>
          </w:p>
        </w:tc>
      </w:tr>
      <w:tr>
        <w:tc>
          <w:tcPr>
            <w:tcW w:type="dxa" w:w="21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Booking requirement</w:t>
            </w:r>
          </w:p>
        </w:tc>
        <w:tc>
          <w:tcPr>
            <w:tcW w:type="dxa" w:w="720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Scene 2 eligible subtotal ≥₹399; one key per user.</w:t>
            </w:r>
          </w:p>
        </w:tc>
      </w:tr>
      <w:tr>
        <w:tc>
          <w:tcPr>
            <w:tcW w:type="dxa" w:w="21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Vesting</w:t>
            </w:r>
          </w:p>
        </w:tc>
        <w:tc>
          <w:tcPr>
            <w:tcW w:type="dxa" w:w="720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Key becomes available only after Scene 1 clears completion/refund risk.</w:t>
            </w:r>
          </w:p>
        </w:tc>
      </w:tr>
      <w:tr>
        <w:tc>
          <w:tcPr>
            <w:tcW w:type="dxa" w:w="21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Reservation</w:t>
            </w:r>
          </w:p>
        </w:tc>
        <w:tc>
          <w:tcPr>
            <w:tcW w:type="dxa" w:w="720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Reserve ₹40 when issued. Stop issuance when 50 keys are reserved.</w:t>
            </w:r>
          </w:p>
        </w:tc>
      </w:tr>
      <w:tr>
        <w:tc>
          <w:tcPr>
            <w:tcW w:type="dxa" w:w="21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Expired keys</w:t>
            </w:r>
          </w:p>
        </w:tc>
        <w:tc>
          <w:tcPr>
            <w:tcW w:type="dxa" w:w="720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May return to the pilot pool only if disclosed; never honor more than ₹2,000 total without founder approval.</w:t>
            </w:r>
          </w:p>
        </w:tc>
      </w:tr>
      <w:tr>
        <w:tc>
          <w:tcPr>
            <w:tcW w:type="dxa" w:w="21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Exclusions</w:t>
            </w:r>
          </w:p>
        </w:tc>
        <w:tc>
          <w:tcPr>
            <w:tcW w:type="dxa" w:w="720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Installs, sign-ups, cancelled/refunded bookings, no-shows, self-referrals, duplicate identities and business accounts.</w:t>
            </w:r>
          </w:p>
        </w:tc>
      </w:tr>
      <w:tr>
        <w:tc>
          <w:tcPr>
            <w:tcW w:type="dxa" w:w="21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Hard stop</w:t>
            </w:r>
          </w:p>
        </w:tc>
        <w:tc>
          <w:tcPr>
            <w:tcW w:type="dxa" w:w="720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Automatic kill switch at 50 honored keys or ₹2,000 redeemed value, whichever occurs first.</w:t>
            </w:r>
          </w:p>
        </w:tc>
      </w:tr>
    </w:tbl>
    <w:p>
      <w:pPr>
        <w:spacing w:after="20"/>
      </w:pPr>
    </w:p>
    <w:p>
      <w:pPr>
        <w:keepNext w:val="0"/>
        <w:spacing w:before="0" w:after="120" w:line="300" w:lineRule="auto"/>
      </w:pPr>
      <w:r>
        <w:rPr>
          <w:rFonts w:ascii="Calibri" w:hAnsi="Calibri"/>
          <w:b w:val="0"/>
          <w:i/>
          <w:color w:val="626262"/>
          <w:sz w:val="19"/>
        </w:rPr>
        <w:t>Why not split ₹40 between bookings two and three? The second booking is the largest drop-off and the only behavior the limited burn can buy at meaningful strength. Booking three should be driven by value whose perceived benefit exceeds its HOMIES cash cost: Drops, Squad progress, status and existing HC.</w:t>
      </w:r>
    </w:p>
    <w:p>
      <w:pPr>
        <w:pStyle w:val="Heading1"/>
      </w:pPr>
      <w:r>
        <w:t>2. HOMIE Coins: the evergreen currency</w:t>
      </w:r>
    </w:p>
    <w:tbl>
      <w:tblPr>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Rule</w:t>
            </w:r>
          </w:p>
        </w:tc>
        <w:tc>
          <w:tcPr>
            <w:tcW w:type="dxa" w:w="727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Canonical specification</w:t>
            </w:r>
          </w:p>
        </w:tc>
      </w:tr>
      <w:tr>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Name</w:t>
            </w:r>
          </w:p>
        </w:tc>
        <w:tc>
          <w:tcPr>
            <w:tcW w:type="dxa" w:w="727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HOMIE Coins (HC).</w:t>
            </w:r>
          </w:p>
        </w:tc>
      </w:tr>
      <w:tr>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Conversion</w:t>
            </w:r>
          </w:p>
        </w:tc>
        <w:tc>
          <w:tcPr>
            <w:tcW w:type="dxa" w:w="727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100 HC = ₹1 promotional value on eligible HOMIES bookings.</w:t>
            </w:r>
          </w:p>
        </w:tc>
      </w:tr>
      <w:tr>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Display</w:t>
            </w:r>
          </w:p>
        </w:tc>
        <w:tc>
          <w:tcPr>
            <w:tcW w:type="dxa" w:w="727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Always show “6,000 HC · worth ₹60 on HOMIES.” Never show HC alone at a decision point.</w:t>
            </w:r>
          </w:p>
        </w:tc>
      </w:tr>
      <w:tr>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Base earn target</w:t>
            </w:r>
          </w:p>
        </w:tc>
        <w:tc>
          <w:tcPr>
            <w:tcW w:type="dxa" w:w="727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Up to 100 HC per eligible ₹100 (1% face value), constrained per order by the Margin Governor.</w:t>
            </w:r>
          </w:p>
        </w:tc>
      </w:tr>
      <w:tr>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Eligibility</w:t>
            </w:r>
          </w:p>
        </w:tc>
        <w:tc>
          <w:tcPr>
            <w:tcW w:type="dxa" w:w="727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Net activity subtotal actually paid after discounts. Exclude taxes, fees, tips, gift value, refunded value and HC-paid value.</w:t>
            </w:r>
          </w:p>
        </w:tc>
      </w:tr>
      <w:tr>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Vesting</w:t>
            </w:r>
          </w:p>
        </w:tc>
        <w:tc>
          <w:tcPr>
            <w:tcW w:type="dxa" w:w="727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Pending at payment; available after activity completion and refund/chargeback risk window.</w:t>
            </w:r>
          </w:p>
        </w:tc>
      </w:tr>
      <w:tr>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Cash status</w:t>
            </w:r>
          </w:p>
        </w:tc>
        <w:tc>
          <w:tcPr>
            <w:tcW w:type="dxa" w:w="727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Non-cashable, non-transferable, non-purchasable, non-interest-bearing and not crypto/investment.</w:t>
            </w:r>
          </w:p>
        </w:tc>
      </w:tr>
      <w:tr>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Rounding</w:t>
            </w:r>
          </w:p>
        </w:tc>
        <w:tc>
          <w:tcPr>
            <w:tcW w:type="dxa" w:w="727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Calculate on final eligible subtotal, then round down once per order.</w:t>
            </w:r>
          </w:p>
        </w:tc>
      </w:tr>
    </w:tbl>
    <w:p>
      <w:pPr>
        <w:spacing w:after="20"/>
      </w:pPr>
    </w:p>
    <w:p>
      <w:pPr>
        <w:pStyle w:val="Heading2"/>
      </w:pPr>
      <w:r>
        <w:t>The Margin Governor</w:t>
      </w:r>
    </w:p>
    <w:p>
      <w:pPr>
        <w:keepNext w:val="0"/>
        <w:spacing w:before="0" w:after="120" w:line="300" w:lineRule="auto"/>
      </w:pPr>
      <w:r>
        <w:rPr>
          <w:rFonts w:ascii="Calibri" w:hAnsi="Calibri"/>
          <w:b w:val="0"/>
          <w:i w:val="0"/>
          <w:color w:val="151515"/>
          <w:sz w:val="22"/>
        </w:rPr>
        <w:t>For each completed booking, define CM0 = HOMIES net commission revenue − payment processing − refund/chargeback allowance − support/risk cost − any HOMIES-funded partner subsidy.</w:t>
      </w:r>
    </w:p>
    <w:p>
      <w:pPr>
        <w:keepNext w:val="0"/>
        <w:spacing w:before="0" w:after="120" w:line="300" w:lineRule="auto"/>
      </w:pPr>
      <w:r>
        <w:rPr>
          <w:rFonts w:ascii="Calibri" w:hAnsi="Calibri"/>
          <w:b w:val="0"/>
          <w:i w:val="0"/>
          <w:color w:val="151515"/>
          <w:sz w:val="22"/>
        </w:rPr>
        <w:t>Maximum ordinary loyalty cost = min(1.0% of eligible GMV, 20% of positive CM0). Use zero when CM0 ≤ 0. Prefer 10–15% of CM0 until randomized evidence proves incremental contribution.</w:t>
      </w:r>
    </w:p>
    <w:tbl>
      <w:tblPr>
        <w:tblW w:type="dxa" w:w="9360"/>
        <w:jc w:val="left"/>
        <w:tblLayout w:type="fixed"/>
        <w:tblLook w:firstColumn="1" w:firstRow="1" w:lastColumn="0" w:lastRow="0" w:noHBand="0" w:noVBand="1" w:val="04A0"/>
        <w:tblInd w:w="120" w:type="dxa"/>
      </w:tblPr>
      <w:tblGrid>
        <w:gridCol w:w="9360"/>
      </w:tblGrid>
      <w:tr>
        <w:tc>
          <w:tcPr>
            <w:tcW w:type="dxa" w:w="9360"/>
            <w:shd w:fill="F4F5F7"/>
            <w:tcMar>
              <w:top w:w="80" w:type="dxa"/>
              <w:start w:w="120" w:type="dxa"/>
              <w:bottom w:w="80" w:type="dxa"/>
              <w:end w:w="120" w:type="dxa"/>
            </w:tcMar>
          </w:tcPr>
          <w:p>
            <w:pPr>
              <w:spacing w:after="0" w:line="276" w:lineRule="auto"/>
            </w:pPr>
            <w:r/>
            <w:r>
              <w:rPr>
                <w:rFonts w:ascii="Calibri" w:hAnsi="Calibri"/>
                <w:b/>
                <w:i w:val="0"/>
                <w:color w:val="FF5A1F"/>
                <w:sz w:val="18"/>
              </w:rPr>
              <w:t xml:space="preserve">PER-ORDER ISSUANCE  </w:t>
            </w:r>
            <w:r>
              <w:rPr>
                <w:rFonts w:ascii="Calibri" w:hAnsi="Calibri"/>
                <w:b/>
                <w:i w:val="0"/>
                <w:color w:val="151515"/>
                <w:sz w:val="22"/>
              </w:rPr>
              <w:t>Issued HC face value must fit the order’s approved reward budget after expected redemption and HOMIES funding share. A booking never becomes negative solely because of ordinary loyalty issuance.</w:t>
            </w:r>
          </w:p>
        </w:tc>
      </w:tr>
    </w:tbl>
    <w:p>
      <w:pPr>
        <w:spacing w:after="20"/>
      </w:pPr>
    </w:p>
    <w:tbl>
      <w:tblPr>
        <w:tblW w:type="dxa" w:w="9360"/>
        <w:jc w:val="left"/>
        <w:tblLayout w:type="fixed"/>
        <w:tblLook w:firstColumn="1" w:firstRow="1" w:lastColumn="0" w:lastRow="0" w:noHBand="0" w:noVBand="1" w:val="04A0"/>
        <w:tblInd w:w="120" w:type="dxa"/>
      </w:tblPr>
      <w:tblGrid>
        <w:gridCol w:w="3168"/>
        <w:gridCol w:w="2059"/>
        <w:gridCol w:w="2059"/>
        <w:gridCol w:w="2074"/>
      </w:tblGrid>
      <w:tr>
        <w:trPr>
          <w:tblHeader w:val="true"/>
        </w:trPr>
        <w:tc>
          <w:tcPr>
            <w:tcW w:type="dxa" w:w="316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Illustrative ₹1,000 booking</w:t>
            </w:r>
          </w:p>
        </w:tc>
        <w:tc>
          <w:tcPr>
            <w:tcW w:type="dxa" w:w="2059"/>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Healthy</w:t>
            </w:r>
          </w:p>
        </w:tc>
        <w:tc>
          <w:tcPr>
            <w:tcW w:type="dxa" w:w="2059"/>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Thin</w:t>
            </w:r>
          </w:p>
        </w:tc>
        <w:tc>
          <w:tcPr>
            <w:tcW w:type="dxa" w:w="207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Negative</w:t>
            </w:r>
          </w:p>
        </w:tc>
      </w:tr>
      <w:tr>
        <w:tc>
          <w:tcPr>
            <w:tcW w:type="dxa" w:w="31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Net commission revenue</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₹150</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₹80</w:t>
            </w:r>
          </w:p>
        </w:tc>
        <w:tc>
          <w:tcPr>
            <w:tcW w:type="dxa" w:w="207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₹50</w:t>
            </w:r>
          </w:p>
        </w:tc>
      </w:tr>
      <w:tr>
        <w:tc>
          <w:tcPr>
            <w:tcW w:type="dxa" w:w="31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Payment + variable costs</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₹35</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₹40</w:t>
            </w:r>
          </w:p>
        </w:tc>
        <w:tc>
          <w:tcPr>
            <w:tcW w:type="dxa" w:w="207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₹60</w:t>
            </w:r>
          </w:p>
        </w:tc>
      </w:tr>
      <w:tr>
        <w:tc>
          <w:tcPr>
            <w:tcW w:type="dxa" w:w="31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CM0 before loyalty</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₹115</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₹40</w:t>
            </w:r>
          </w:p>
        </w:tc>
        <w:tc>
          <w:tcPr>
            <w:tcW w:type="dxa" w:w="207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−₹10</w:t>
            </w:r>
          </w:p>
        </w:tc>
      </w:tr>
      <w:tr>
        <w:tc>
          <w:tcPr>
            <w:tcW w:type="dxa" w:w="31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 GMV ceiling</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w:t>
            </w:r>
          </w:p>
        </w:tc>
        <w:tc>
          <w:tcPr>
            <w:tcW w:type="dxa" w:w="207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w:t>
            </w:r>
          </w:p>
        </w:tc>
      </w:tr>
      <w:tr>
        <w:tc>
          <w:tcPr>
            <w:tcW w:type="dxa" w:w="31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20% CM0 ceiling</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₹23</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₹8</w:t>
            </w:r>
          </w:p>
        </w:tc>
        <w:tc>
          <w:tcPr>
            <w:tcW w:type="dxa" w:w="207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₹0</w:t>
            </w:r>
          </w:p>
        </w:tc>
      </w:tr>
      <w:tr>
        <w:tc>
          <w:tcPr>
            <w:tcW w:type="dxa" w:w="31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Maximum ordinary reward</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 / 1,000 HC</w:t>
            </w:r>
          </w:p>
        </w:tc>
        <w:tc>
          <w:tcPr>
            <w:tcW w:type="dxa" w:w="2059"/>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₹8 / 800 HC</w:t>
            </w:r>
          </w:p>
        </w:tc>
        <w:tc>
          <w:tcPr>
            <w:tcW w:type="dxa" w:w="207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₹0</w:t>
            </w:r>
          </w:p>
        </w:tc>
      </w:tr>
      <w:tr>
        <w:tc>
          <w:tcPr>
            <w:tcW w:type="dxa" w:w="31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CM after maximum reward</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₹105</w:t>
            </w:r>
          </w:p>
        </w:tc>
        <w:tc>
          <w:tcPr>
            <w:tcW w:type="dxa" w:w="2059"/>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₹32</w:t>
            </w:r>
          </w:p>
        </w:tc>
        <w:tc>
          <w:tcPr>
            <w:tcW w:type="dxa" w:w="207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−₹10</w:t>
            </w:r>
          </w:p>
        </w:tc>
      </w:tr>
    </w:tbl>
    <w:p>
      <w:pPr>
        <w:spacing w:after="20"/>
      </w:pPr>
    </w:p>
    <w:p>
      <w:pPr>
        <w:keepNext w:val="0"/>
        <w:spacing w:before="0" w:after="120" w:line="300" w:lineRule="auto"/>
      </w:pPr>
      <w:r>
        <w:rPr>
          <w:rFonts w:ascii="Calibri" w:hAnsi="Calibri"/>
          <w:b w:val="0"/>
          <w:i/>
          <w:color w:val="626262"/>
          <w:sz w:val="19"/>
        </w:rPr>
        <w:t>These examples are decision illustrations, not forecasts. Replace commission, payment, support and refund assumptions with actual category-level data.</w:t>
      </w:r>
    </w:p>
    <w:p>
      <w:pPr>
        <w:pStyle w:val="Heading1"/>
      </w:pPr>
      <w:r>
        <w:t>3. Choose Your Next Scene</w:t>
      </w:r>
    </w:p>
    <w:p>
      <w:pPr>
        <w:keepNext w:val="0"/>
        <w:spacing w:before="0" w:after="120" w:line="300" w:lineRule="auto"/>
      </w:pPr>
      <w:r>
        <w:rPr>
          <w:rFonts w:ascii="Calibri" w:hAnsi="Calibri"/>
          <w:b w:val="0"/>
          <w:i w:val="0"/>
          <w:color w:val="151515"/>
          <w:sz w:val="22"/>
        </w:rPr>
        <w:t>After Scene 2 clears the risk window, the user chooses one route for Scene 3. All choices fit one cost envelope; this creates agency without multiplying HOMIES’ liability.</w:t>
      </w:r>
    </w:p>
    <w:tbl>
      <w:tblPr>
        <w:tblW w:type="dxa" w:w="9360"/>
        <w:jc w:val="left"/>
        <w:tblLayout w:type="fixed"/>
        <w:tblLook w:firstColumn="1" w:firstRow="1" w:lastColumn="0" w:lastRow="0" w:noHBand="0" w:noVBand="1" w:val="04A0"/>
        <w:tblInd w:w="120" w:type="dxa"/>
      </w:tblPr>
      <w:tblGrid>
        <w:gridCol w:w="1440"/>
        <w:gridCol w:w="4032"/>
        <w:gridCol w:w="3888"/>
      </w:tblGrid>
      <w:tr>
        <w:trPr>
          <w:tblHeader w:val="true"/>
        </w:trPr>
        <w:tc>
          <w:tcPr>
            <w:tcW w:type="dxa" w:w="144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Choice</w:t>
            </w:r>
          </w:p>
        </w:tc>
        <w:tc>
          <w:tcPr>
            <w:tcW w:type="dxa" w:w="403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User experience</w:t>
            </w:r>
          </w:p>
        </w:tc>
        <w:tc>
          <w:tcPr>
            <w:tcW w:type="dxa" w:w="388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Economic design</w:t>
            </w:r>
          </w:p>
        </w:tc>
      </w:tr>
      <w:tr>
        <w:tc>
          <w:tcPr>
            <w:tcW w:type="dxa" w:w="144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SAVE IT</w:t>
            </w:r>
          </w:p>
        </w:tc>
        <w:tc>
          <w:tcPr>
            <w:tcW w:type="dxa" w:w="40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Keep available HC for a later booking. Show exact rupee value and next goal.</w:t>
            </w:r>
          </w:p>
        </w:tc>
        <w:tc>
          <w:tcPr>
            <w:tcW w:type="dxa" w:w="38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No new subsidy.</w:t>
            </w:r>
          </w:p>
        </w:tc>
      </w:tr>
      <w:tr>
        <w:tc>
          <w:tcPr>
            <w:tcW w:type="dxa" w:w="144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UPGRADE IT</w:t>
            </w:r>
          </w:p>
        </w:tc>
        <w:tc>
          <w:tcPr>
            <w:tcW w:type="dxa" w:w="40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Exchange an eligible reward budget for a partner Drop: equipment upgrade, extra play time, snack bundle, photo pack, early slot or reschedule shield.</w:t>
            </w:r>
          </w:p>
        </w:tc>
        <w:tc>
          <w:tcPr>
            <w:tcW w:type="dxa" w:w="38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Prefer partner/off-peak inventory whose user value exceeds cost.</w:t>
            </w:r>
          </w:p>
        </w:tc>
      </w:tr>
      <w:tr>
        <w:tc>
          <w:tcPr>
            <w:tcW w:type="dxa" w:w="144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SQUAD IT</w:t>
            </w:r>
          </w:p>
        </w:tc>
        <w:tc>
          <w:tcPr>
            <w:tcW w:type="dxa" w:w="40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Attach the reward opportunity to a group plan. Three verified participants completing within the season unlock the same partner Drop.</w:t>
            </w:r>
          </w:p>
        </w:tc>
        <w:tc>
          <w:tcPr>
            <w:tcW w:type="dxa" w:w="38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No pooled cash; reward only distinct completed participants.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shd w:fill="FFF0E8"/>
            <w:tcMar>
              <w:top w:w="80" w:type="dxa"/>
              <w:start w:w="120" w:type="dxa"/>
              <w:bottom w:w="80" w:type="dxa"/>
              <w:end w:w="120" w:type="dxa"/>
            </w:tcMar>
          </w:tcPr>
          <w:p>
            <w:pPr>
              <w:spacing w:after="0" w:line="276" w:lineRule="auto"/>
            </w:pPr>
            <w:r/>
            <w:r>
              <w:rPr>
                <w:rFonts w:ascii="Calibri" w:hAnsi="Calibri"/>
                <w:b/>
                <w:i w:val="0"/>
                <w:color w:val="FF5A1F"/>
                <w:sz w:val="18"/>
              </w:rPr>
              <w:t xml:space="preserve">DESIGN PRINCIPLE  </w:t>
            </w:r>
            <w:r>
              <w:rPr>
                <w:rFonts w:ascii="Calibri" w:hAnsi="Calibri"/>
                <w:b/>
                <w:i w:val="0"/>
                <w:color w:val="151515"/>
                <w:sz w:val="22"/>
              </w:rPr>
              <w:t>The app recommends one “Best next scene” but preserves all three choices and explains why the recommendation appears. Never use fake scarcity or random outcomes.</w:t>
            </w:r>
          </w:p>
        </w:tc>
      </w:tr>
    </w:tbl>
    <w:p>
      <w:pPr>
        <w:spacing w:after="20"/>
      </w:pPr>
    </w:p>
    <w:p>
      <w:pPr>
        <w:pStyle w:val="Heading1"/>
      </w:pPr>
      <w:r>
        <w:t>4. Earned Invites: retention before referral</w:t>
      </w:r>
    </w:p>
    <w:p>
      <w:pPr>
        <w:keepNext w:val="0"/>
        <w:spacing w:before="0" w:after="120" w:line="300" w:lineRule="auto"/>
      </w:pPr>
      <w:r>
        <w:rPr>
          <w:rFonts w:ascii="Calibri" w:hAnsi="Calibri"/>
          <w:b w:val="0"/>
          <w:i w:val="0"/>
          <w:color w:val="151515"/>
          <w:sz w:val="22"/>
        </w:rPr>
        <w:t>Most apps pay anyone to invite anyone, generating spam and low-intent users. HOMIES reverses the sequence: a member earns invite privileges only after proving the product is worth using twice.</w:t>
      </w:r>
    </w:p>
    <w:p>
      <w:pPr>
        <w:pStyle w:val="ListBullet"/>
        <w:keepLines/>
        <w:widowControl/>
        <w:spacing w:after="100" w:line="300" w:lineRule="auto"/>
      </w:pPr>
      <w:r>
        <w:rPr>
          <w:rFonts w:ascii="Calibri" w:hAnsi="Calibri"/>
          <w:b w:val="0"/>
          <w:i w:val="0"/>
          <w:color w:val="151515"/>
          <w:sz w:val="21"/>
        </w:rPr>
        <w:t xml:space="preserve"> Unlock: two Crew Passes after the member completes Scene 2.</w:t>
      </w:r>
    </w:p>
    <w:p>
      <w:pPr>
        <w:pStyle w:val="ListBullet"/>
        <w:keepLines/>
        <w:widowControl/>
        <w:spacing w:after="100" w:line="300" w:lineRule="auto"/>
      </w:pPr>
      <w:r>
        <w:rPr>
          <w:rFonts w:ascii="Calibri" w:hAnsi="Calibri"/>
          <w:b w:val="0"/>
          <w:i w:val="0"/>
          <w:color w:val="151515"/>
          <w:sz w:val="21"/>
        </w:rPr>
        <w:t xml:space="preserve"> Friend benefit: a partner-funded first-scene add-on, upgrade, member slot or fixed offer disclosed before booking—not vague “up to” value.</w:t>
      </w:r>
    </w:p>
    <w:p>
      <w:pPr>
        <w:pStyle w:val="ListBullet"/>
        <w:keepLines/>
        <w:widowControl/>
        <w:spacing w:after="100" w:line="300" w:lineRule="auto"/>
      </w:pPr>
      <w:r>
        <w:rPr>
          <w:rFonts w:ascii="Calibri" w:hAnsi="Calibri"/>
          <w:b w:val="0"/>
          <w:i w:val="0"/>
          <w:color w:val="151515"/>
          <w:sz w:val="21"/>
        </w:rPr>
        <w:t xml:space="preserve"> Member benefit: Vibe XP immediately after the friend completes; HC only when the referred booking’s positive CM funds it and the campaign budget allows it.</w:t>
      </w:r>
    </w:p>
    <w:p>
      <w:pPr>
        <w:pStyle w:val="ListBullet"/>
        <w:keepLines/>
        <w:widowControl/>
        <w:spacing w:after="100" w:line="300" w:lineRule="auto"/>
      </w:pPr>
      <w:r>
        <w:rPr>
          <w:rFonts w:ascii="Calibri" w:hAnsi="Calibri"/>
          <w:b w:val="0"/>
          <w:i w:val="0"/>
          <w:color w:val="151515"/>
          <w:sz w:val="21"/>
        </w:rPr>
        <w:t xml:space="preserve"> No reward for link clicks, installs or sign-ups. Verify phone, device, payment and behavioral uniqueness; claw back refunded/abusive events.</w:t>
      </w:r>
    </w:p>
    <w:p>
      <w:pPr>
        <w:pStyle w:val="ListBullet"/>
        <w:keepLines/>
        <w:widowControl/>
        <w:spacing w:after="100" w:line="300" w:lineRule="auto"/>
      </w:pPr>
      <w:r>
        <w:rPr>
          <w:rFonts w:ascii="Calibri" w:hAnsi="Calibri"/>
          <w:b w:val="0"/>
          <w:i w:val="0"/>
          <w:color w:val="151515"/>
          <w:sz w:val="21"/>
        </w:rPr>
        <w:t xml:space="preserve"> During the ₹2,000 pilot, do not pay a separate cash referral bounty.</w:t>
      </w:r>
    </w:p>
    <w:p>
      <w:pPr>
        <w:keepNext w:val="0"/>
        <w:spacing w:before="0" w:after="120" w:line="300" w:lineRule="auto"/>
      </w:pPr>
      <w:r>
        <w:rPr>
          <w:rFonts w:ascii="Calibri" w:hAnsi="Calibri"/>
          <w:b/>
          <w:i w:val="0"/>
          <w:color w:val="626262"/>
          <w:sz w:val="20"/>
        </w:rPr>
        <w:t>This creates a higher-quality flywheel: retained user → earned invite → verified friend completes → Squad progress → group booking → partner sees incremental/off-peak demand → partner funds better Drops → retention rises.</w:t>
      </w:r>
    </w:p>
    <w:p>
      <w:pPr>
        <w:pStyle w:val="Heading1"/>
      </w:pPr>
      <w:r>
        <w:t>5. Squad Vault</w:t>
      </w:r>
    </w:p>
    <w:p>
      <w:pPr>
        <w:keepNext w:val="0"/>
        <w:spacing w:before="0" w:after="120" w:line="300" w:lineRule="auto"/>
      </w:pPr>
      <w:r>
        <w:rPr>
          <w:rFonts w:ascii="Calibri" w:hAnsi="Calibri"/>
          <w:b w:val="0"/>
          <w:i w:val="0"/>
          <w:color w:val="151515"/>
          <w:sz w:val="22"/>
        </w:rPr>
        <w:t>A Squad contains 3–5 verified members. It is a shared progress object—not a wallet and not transferable money. Each distinct completed activity during a 30-day season fills one segment. At three qualifying members, every qualifying member unlocks the same predefined partner-funded Drop.</w:t>
      </w:r>
    </w:p>
    <w:tbl>
      <w:tblPr>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Guardrail</w:t>
            </w:r>
          </w:p>
        </w:tc>
        <w:tc>
          <w:tcPr>
            <w:tcW w:type="dxa" w:w="741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Rule</w:t>
            </w:r>
          </w:p>
        </w:tc>
      </w:tr>
      <w:tr>
        <w:tc>
          <w:tcPr>
            <w:tcW w:type="dxa" w:w="19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Identity</w:t>
            </w:r>
          </w:p>
        </w:tc>
        <w:tc>
          <w:tcPr>
            <w:tcW w:type="dxa" w:w="74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One active Squad per user; distinct phone/device/payment fingerprints; manual review for edge cases.</w:t>
            </w:r>
          </w:p>
        </w:tc>
      </w:tr>
      <w:tr>
        <w:tc>
          <w:tcPr>
            <w:tcW w:type="dxa" w:w="19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Progress</w:t>
            </w:r>
          </w:p>
        </w:tc>
        <w:tc>
          <w:tcPr>
            <w:tcW w:type="dxa" w:w="74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Only completed, non-refunded paid activities count; one segment/member/season.</w:t>
            </w:r>
          </w:p>
        </w:tc>
      </w:tr>
      <w:tr>
        <w:tc>
          <w:tcPr>
            <w:tcW w:type="dxa" w:w="19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Reward</w:t>
            </w:r>
          </w:p>
        </w:tc>
        <w:tc>
          <w:tcPr>
            <w:tcW w:type="dxa" w:w="74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Fixed disclosed Drop and inventory. No chance, spins, random loss or “better luck next time.”</w:t>
            </w:r>
          </w:p>
        </w:tc>
      </w:tr>
      <w:tr>
        <w:tc>
          <w:tcPr>
            <w:tcW w:type="dxa" w:w="19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Funding</w:t>
            </w:r>
          </w:p>
        </w:tc>
        <w:tc>
          <w:tcPr>
            <w:tcW w:type="dxa" w:w="74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Partner/off-peak first; HOMIES funding only inside approved campaign budget.</w:t>
            </w:r>
          </w:p>
        </w:tc>
      </w:tr>
      <w:tr>
        <w:tc>
          <w:tcPr>
            <w:tcW w:type="dxa" w:w="19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Failure</w:t>
            </w:r>
          </w:p>
        </w:tc>
        <w:tc>
          <w:tcPr>
            <w:tcW w:type="dxa" w:w="74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Missing the season never confiscates HC or XP; only seasonal progress resets.</w:t>
            </w:r>
          </w:p>
        </w:tc>
      </w:tr>
      <w:tr>
        <w:tc>
          <w:tcPr>
            <w:tcW w:type="dxa" w:w="19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Transfer</w:t>
            </w:r>
          </w:p>
        </w:tc>
        <w:tc>
          <w:tcPr>
            <w:tcW w:type="dxa" w:w="74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No coin pooling, cash transfer, withdrawal or reward resale.</w:t>
            </w:r>
          </w:p>
        </w:tc>
      </w:tr>
    </w:tbl>
    <w:p>
      <w:pPr>
        <w:spacing w:after="20"/>
      </w:pPr>
    </w:p>
    <w:p>
      <w:pPr>
        <w:pStyle w:val="Heading1"/>
      </w:pPr>
      <w:r>
        <w:t>6. Drops: the perceived-value multiplier</w:t>
      </w:r>
    </w:p>
    <w:p>
      <w:pPr>
        <w:keepNext w:val="0"/>
        <w:spacing w:before="0" w:after="120" w:line="300" w:lineRule="auto"/>
      </w:pPr>
      <w:r>
        <w:rPr>
          <w:rFonts w:ascii="Calibri" w:hAnsi="Calibri"/>
          <w:b w:val="0"/>
          <w:i w:val="0"/>
          <w:color w:val="151515"/>
          <w:sz w:val="22"/>
        </w:rPr>
        <w:t>Drops should make users feel they received ₹100 of fun while HOMIES and the venue spend far less. Every Drop must have a real normal selling price or clearly labeled non-cash member value—never an inflated fake MRP.</w:t>
      </w:r>
    </w:p>
    <w:tbl>
      <w:tblPr>
        <w:tblW w:type="dxa" w:w="9360"/>
        <w:jc w:val="left"/>
        <w:tblLayout w:type="fixed"/>
        <w:tblLook w:firstColumn="1" w:firstRow="1" w:lastColumn="0" w:lastRow="0" w:noHBand="0" w:noVBand="1" w:val="04A0"/>
        <w:tblInd w:w="120" w:type="dxa"/>
      </w:tblPr>
      <w:tblGrid>
        <w:gridCol w:w="2448"/>
        <w:gridCol w:w="3384"/>
        <w:gridCol w:w="3528"/>
      </w:tblGrid>
      <w:tr>
        <w:trPr>
          <w:tblHeader w:val="true"/>
        </w:trPr>
        <w:tc>
          <w:tcPr>
            <w:tcW w:type="dxa" w:w="244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High-value Drop</w:t>
            </w:r>
          </w:p>
        </w:tc>
        <w:tc>
          <w:tcPr>
            <w:tcW w:type="dxa" w:w="338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Why users value it</w:t>
            </w:r>
          </w:p>
        </w:tc>
        <w:tc>
          <w:tcPr>
            <w:tcW w:type="dxa" w:w="352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Likely cost design</w:t>
            </w:r>
          </w:p>
        </w:tc>
      </w:tr>
      <w:tr>
        <w:tc>
          <w:tcPr>
            <w:tcW w:type="dxa" w:w="244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Extra simulator / turf time</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More of the activity they already chose</w:t>
            </w:r>
          </w:p>
        </w:tc>
        <w:tc>
          <w:tcPr>
            <w:tcW w:type="dxa" w:w="35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Unused off-peak capacity</w:t>
            </w:r>
          </w:p>
        </w:tc>
      </w:tr>
      <w:tr>
        <w:tc>
          <w:tcPr>
            <w:tcW w:type="dxa" w:w="244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Equipment or seat upgrade</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Visible premium treatment</w:t>
            </w:r>
          </w:p>
        </w:tc>
        <w:tc>
          <w:tcPr>
            <w:tcW w:type="dxa" w:w="35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Near-zero marginal cost when idle</w:t>
            </w:r>
          </w:p>
        </w:tc>
      </w:tr>
      <w:tr>
        <w:tc>
          <w:tcPr>
            <w:tcW w:type="dxa" w:w="244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Bring-one-Homie slot</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Social value and group conversion</w:t>
            </w:r>
          </w:p>
        </w:tc>
        <w:tc>
          <w:tcPr>
            <w:tcW w:type="dxa" w:w="35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Partner-funded off-peak inventory</w:t>
            </w:r>
          </w:p>
        </w:tc>
      </w:tr>
      <w:tr>
        <w:tc>
          <w:tcPr>
            <w:tcW w:type="dxa" w:w="244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Snack / drink bundle</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Immediate, tangible reward</w:t>
            </w:r>
          </w:p>
        </w:tc>
        <w:tc>
          <w:tcPr>
            <w:tcW w:type="dxa" w:w="35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Venue or FMCG sponsor</w:t>
            </w:r>
          </w:p>
        </w:tc>
      </w:tr>
      <w:tr>
        <w:tc>
          <w:tcPr>
            <w:tcW w:type="dxa" w:w="244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Photo / highlight pack</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Shareable memory and identity</w:t>
            </w:r>
          </w:p>
        </w:tc>
        <w:tc>
          <w:tcPr>
            <w:tcW w:type="dxa" w:w="35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Automated or low marginal cost</w:t>
            </w:r>
          </w:p>
        </w:tc>
      </w:tr>
      <w:tr>
        <w:tc>
          <w:tcPr>
            <w:tcW w:type="dxa" w:w="244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Early access / invite-only drop</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Status and scarcity without discount</w:t>
            </w:r>
          </w:p>
        </w:tc>
        <w:tc>
          <w:tcPr>
            <w:tcW w:type="dxa" w:w="35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Access control</w:t>
            </w:r>
          </w:p>
        </w:tc>
      </w:tr>
      <w:tr>
        <w:tc>
          <w:tcPr>
            <w:tcW w:type="dxa" w:w="244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Reschedule shield</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Reduces booking anxiety</w:t>
            </w:r>
          </w:p>
        </w:tc>
        <w:tc>
          <w:tcPr>
            <w:tcW w:type="dxa" w:w="35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Capped operational perk</w:t>
            </w:r>
          </w:p>
        </w:tc>
      </w:tr>
    </w:tbl>
    <w:p>
      <w:pPr>
        <w:spacing w:after="20"/>
      </w:pPr>
    </w:p>
    <w:p>
      <w:pPr>
        <w:pStyle w:val="ListBullet"/>
        <w:keepLines/>
        <w:widowControl/>
        <w:spacing w:after="40" w:line="264" w:lineRule="auto"/>
      </w:pPr>
      <w:r>
        <w:rPr>
          <w:rFonts w:ascii="Calibri" w:hAnsi="Calibri"/>
          <w:b w:val="0"/>
          <w:i w:val="0"/>
          <w:color w:val="151515"/>
          <w:sz w:val="21"/>
        </w:rPr>
        <w:t xml:space="preserve"> Each Drop stores actual HOMIES cost, claimed user value, normal price evidence, funding split, inventory, eligibility, expiry, redemption cap, fraud rule and accounting treatment.</w:t>
      </w:r>
    </w:p>
    <w:p>
      <w:pPr>
        <w:pStyle w:val="ListBullet"/>
        <w:keepLines/>
        <w:widowControl/>
        <w:spacing w:after="40" w:line="264" w:lineRule="auto"/>
      </w:pPr>
      <w:r>
        <w:rPr>
          <w:rFonts w:ascii="Calibri" w:hAnsi="Calibri"/>
          <w:b w:val="0"/>
          <w:i w:val="0"/>
          <w:color w:val="151515"/>
          <w:sz w:val="21"/>
        </w:rPr>
        <w:t xml:space="preserve"> Target at least 50% partner funding at launch and increase the share as HOMIES proves incremental/off-peak demand.</w:t>
      </w:r>
    </w:p>
    <w:p>
      <w:pPr>
        <w:pStyle w:val="Heading1"/>
      </w:pPr>
      <w:r>
        <w:t>7. Vibe XP and status</w:t>
      </w:r>
    </w:p>
    <w:p>
      <w:pPr>
        <w:keepNext w:val="0"/>
        <w:spacing w:before="0" w:after="120" w:line="300" w:lineRule="auto"/>
      </w:pPr>
      <w:r>
        <w:rPr>
          <w:rFonts w:ascii="Calibri" w:hAnsi="Calibri"/>
          <w:b w:val="0"/>
          <w:i w:val="0"/>
          <w:color w:val="151515"/>
          <w:sz w:val="22"/>
        </w:rPr>
        <w:t>Vibe XP is non-spendable progress. It creates identity and status without becoming another confusing currency. HC redemption never reduces XP or status.</w:t>
      </w:r>
    </w:p>
    <w:tbl>
      <w:tblPr>
        <w:tblW w:type="dxa" w:w="9360"/>
        <w:jc w:val="left"/>
        <w:tblLayout w:type="fixed"/>
        <w:tblLook w:firstColumn="1" w:firstRow="1" w:lastColumn="0" w:lastRow="0" w:noHBand="0" w:noVBand="1" w:val="04A0"/>
        <w:tblInd w:w="120" w:type="dxa"/>
      </w:tblPr>
      <w:tblGrid>
        <w:gridCol w:w="7056"/>
        <w:gridCol w:w="2304"/>
      </w:tblGrid>
      <w:tr>
        <w:trPr>
          <w:tblHeader w:val="true"/>
        </w:trPr>
        <w:tc>
          <w:tcPr>
            <w:tcW w:type="dxa" w:w="705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Action</w:t>
            </w:r>
          </w:p>
        </w:tc>
        <w:tc>
          <w:tcPr>
            <w:tcW w:type="dxa" w:w="230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Vibe XP</w:t>
            </w:r>
          </w:p>
        </w:tc>
      </w:tr>
      <w:tr>
        <w:tc>
          <w:tcPr>
            <w:tcW w:type="dxa" w:w="705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Completed eligible booking</w:t>
            </w:r>
          </w:p>
        </w:tc>
        <w:tc>
          <w:tcPr>
            <w:tcW w:type="dxa" w:w="230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100</w:t>
            </w:r>
          </w:p>
        </w:tc>
      </w:tr>
      <w:tr>
        <w:tc>
          <w:tcPr>
            <w:tcW w:type="dxa" w:w="705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First completed booking in a new category</w:t>
            </w:r>
          </w:p>
        </w:tc>
        <w:tc>
          <w:tcPr>
            <w:tcW w:type="dxa" w:w="230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+40</w:t>
            </w:r>
          </w:p>
        </w:tc>
      </w:tr>
      <w:tr>
        <w:tc>
          <w:tcPr>
            <w:tcW w:type="dxa" w:w="705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Completed booking with a verified friend</w:t>
            </w:r>
          </w:p>
        </w:tc>
        <w:tc>
          <w:tcPr>
            <w:tcW w:type="dxa" w:w="230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+20</w:t>
            </w:r>
          </w:p>
        </w:tc>
      </w:tr>
      <w:tr>
        <w:tc>
          <w:tcPr>
            <w:tcW w:type="dxa" w:w="705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Verified useful post-activity review</w:t>
            </w:r>
          </w:p>
        </w:tc>
        <w:tc>
          <w:tcPr>
            <w:tcW w:type="dxa" w:w="230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+10; maximum 3/month</w:t>
            </w:r>
          </w:p>
        </w:tc>
      </w:tr>
      <w:tr>
        <w:tc>
          <w:tcPr>
            <w:tcW w:type="dxa" w:w="705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Cancellation, refund, no-show or spam action</w:t>
            </w:r>
          </w:p>
        </w:tc>
        <w:tc>
          <w:tcPr>
            <w:tcW w:type="dxa" w:w="230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0</w:t>
            </w:r>
          </w:p>
        </w:tc>
      </w:tr>
    </w:tbl>
    <w:p>
      <w:pPr>
        <w:spacing w:after="20"/>
      </w:pPr>
    </w:p>
    <w:tbl>
      <w:tblPr>
        <w:tblW w:type="dxa" w:w="9360"/>
        <w:jc w:val="left"/>
        <w:tblLayout w:type="fixed"/>
        <w:tblLook w:firstColumn="1" w:firstRow="1" w:lastColumn="0" w:lastRow="0" w:noHBand="0" w:noVBand="1" w:val="04A0"/>
        <w:tblInd w:w="120" w:type="dxa"/>
      </w:tblPr>
      <w:tblGrid>
        <w:gridCol w:w="1584"/>
        <w:gridCol w:w="3024"/>
        <w:gridCol w:w="4752"/>
      </w:tblGrid>
      <w:tr>
        <w:trPr>
          <w:tblHeader w:val="true"/>
        </w:trPr>
        <w:tc>
          <w:tcPr>
            <w:tcW w:type="dxa" w:w="158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Status</w:t>
            </w:r>
          </w:p>
        </w:tc>
        <w:tc>
          <w:tcPr>
            <w:tcW w:type="dxa" w:w="302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Rolling 12-month qualification</w:t>
            </w:r>
          </w:p>
        </w:tc>
        <w:tc>
          <w:tcPr>
            <w:tcW w:type="dxa" w:w="475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Low-cash-cost benefits</w:t>
            </w:r>
          </w:p>
        </w:tc>
      </w:tr>
      <w:tr>
        <w:tc>
          <w:tcPr>
            <w:tcW w:type="dxa" w:w="15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New Homie</w:t>
            </w:r>
          </w:p>
        </w:tc>
        <w:tc>
          <w:tcPr>
            <w:tcW w:type="dxa" w:w="302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Default</w:t>
            </w:r>
          </w:p>
        </w:tc>
        <w:tc>
          <w:tcPr>
            <w:tcW w:type="dxa" w:w="47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Wallet, Loop progress, Drops, basic support</w:t>
            </w:r>
          </w:p>
        </w:tc>
      </w:tr>
      <w:tr>
        <w:tc>
          <w:tcPr>
            <w:tcW w:type="dxa" w:w="15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Regular</w:t>
            </w:r>
          </w:p>
        </w:tc>
        <w:tc>
          <w:tcPr>
            <w:tcW w:type="dxa" w:w="302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3 completed bookings OR ₹3,000 eligible spend</w:t>
            </w:r>
          </w:p>
        </w:tc>
        <w:tc>
          <w:tcPr>
            <w:tcW w:type="dxa" w:w="475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Selected early access, one partner-approved reschedule/quarter, birthday Drop</w:t>
            </w:r>
          </w:p>
        </w:tc>
      </w:tr>
      <w:tr>
        <w:tc>
          <w:tcPr>
            <w:tcW w:type="dxa" w:w="15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OG</w:t>
            </w:r>
          </w:p>
        </w:tc>
        <w:tc>
          <w:tcPr>
            <w:tcW w:type="dxa" w:w="302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8 completed bookings OR ₹10,000 eligible spend</w:t>
            </w:r>
          </w:p>
        </w:tc>
        <w:tc>
          <w:tcPr>
            <w:tcW w:type="dxa" w:w="475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Priority resolution, 24-hour early access, capped shield, exclusive partner/community Drops</w:t>
            </w:r>
          </w:p>
        </w:tc>
      </w:tr>
    </w:tbl>
    <w:p>
      <w:pPr>
        <w:spacing w:after="20"/>
      </w:pPr>
    </w:p>
    <w:p>
      <w:pPr>
        <w:pStyle w:val="ListBullet"/>
        <w:keepLines/>
        <w:widowControl/>
        <w:spacing w:after="100" w:line="300" w:lineRule="auto"/>
      </w:pPr>
      <w:r>
        <w:rPr>
          <w:rFonts w:ascii="Calibri" w:hAnsi="Calibri"/>
          <w:b w:val="0"/>
          <w:i w:val="0"/>
          <w:color w:val="151515"/>
          <w:sz w:val="21"/>
        </w:rPr>
        <w:t xml:space="preserve"> Use booking frequency OR spend so low-ticket users are not excluded.</w:t>
      </w:r>
    </w:p>
    <w:p>
      <w:pPr>
        <w:pStyle w:val="ListBullet"/>
        <w:keepLines/>
        <w:widowControl/>
        <w:spacing w:after="100" w:line="300" w:lineRule="auto"/>
      </w:pPr>
      <w:r>
        <w:rPr>
          <w:rFonts w:ascii="Calibri" w:hAnsi="Calibri"/>
          <w:b w:val="0"/>
          <w:i w:val="0"/>
          <w:color w:val="151515"/>
          <w:sz w:val="21"/>
        </w:rPr>
        <w:t xml:space="preserve"> Give a 30-day soft landing and visible requalification progress. Status loss never confiscates HC or removes core booking access.</w:t>
      </w:r>
    </w:p>
    <w:p>
      <w:pPr>
        <w:pStyle w:val="ListBullet"/>
        <w:keepLines/>
        <w:widowControl/>
        <w:spacing w:after="100" w:line="300" w:lineRule="auto"/>
      </w:pPr>
      <w:r>
        <w:rPr>
          <w:rFonts w:ascii="Calibri" w:hAnsi="Calibri"/>
          <w:b w:val="0"/>
          <w:i w:val="0"/>
          <w:color w:val="151515"/>
          <w:sz w:val="21"/>
        </w:rPr>
        <w:t xml:space="preserve"> Do not add permanent 1.1×/1.2× earn until the margin governor and partner funding support it.</w:t>
      </w:r>
    </w:p>
    <w:p>
      <w:pPr>
        <w:pStyle w:val="Heading1"/>
      </w:pPr>
      <w:r>
        <w:t>8. Redemption, expiry and refunds</w:t>
      </w:r>
    </w:p>
    <w:tbl>
      <w:tblPr>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Area</w:t>
            </w:r>
          </w:p>
        </w:tc>
        <w:tc>
          <w:tcPr>
            <w:tcW w:type="dxa" w:w="734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Canonical rule</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Minimum redemption</w:t>
            </w:r>
          </w:p>
        </w:tc>
        <w:tc>
          <w:tcPr>
            <w:tcW w:type="dxa" w:w="73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No artificial threshold; use any available HC subject to order rules.</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Order cap</w:t>
            </w:r>
          </w:p>
        </w:tc>
        <w:tc>
          <w:tcPr>
            <w:tcW w:type="dxa" w:w="73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Lower of 10% of eligible subtotal, ₹150, or available HC value.</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Minimum payable</w:t>
            </w:r>
          </w:p>
        </w:tc>
        <w:tc>
          <w:tcPr>
            <w:tcW w:type="dxa" w:w="73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Keep at least ₹99 payable after cash-like HOMIES rewards.</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Checkout</w:t>
            </w:r>
          </w:p>
        </w:tc>
        <w:tc>
          <w:tcPr>
            <w:tcW w:type="dxa" w:w="73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Suggest best allowed amount; never auto-spend without confirmation. Offer Use Now and Save.</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Stacking</w:t>
            </w:r>
          </w:p>
        </w:tc>
        <w:tc>
          <w:tcPr>
            <w:tcW w:type="dxa" w:w="73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Use the better HOMIES-funded rail unless stacking is explicitly budgeted. Partner-funded add-ons may stack.</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Expiry</w:t>
            </w:r>
          </w:p>
        </w:tc>
        <w:tc>
          <w:tcPr>
            <w:tcW w:type="dxa" w:w="73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12 consecutive months with no qualifying earn or redemption. Remind at 60, 30 and 7 days with exact HC and ₹ value.</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Extension</w:t>
            </w:r>
          </w:p>
        </w:tc>
        <w:tc>
          <w:tcPr>
            <w:tcW w:type="dxa" w:w="73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Offer a fair no-purchase annual extension action where legally/operationally feasible.</w:t>
            </w:r>
          </w:p>
        </w:tc>
      </w:tr>
      <w:tr>
        <w:tc>
          <w:tcPr>
            <w:tcW w:type="dxa" w:w="201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Cancellation</w:t>
            </w:r>
          </w:p>
        </w:tc>
        <w:tc>
          <w:tcPr>
            <w:tcW w:type="dxa" w:w="734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Reverse pending/earned HC pro rata. Restore redeemed HC with original expiry or at least 30 days, subject to refund policy.</w:t>
            </w:r>
          </w:p>
        </w:tc>
      </w:tr>
      <w:tr>
        <w:tc>
          <w:tcPr>
            <w:tcW w:type="dxa" w:w="201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Devaluation</w:t>
            </w:r>
          </w:p>
        </w:tc>
        <w:tc>
          <w:tcPr>
            <w:tcW w:type="dxa" w:w="734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Never retroactively reduce vested conversion. If rules change, preserve legacy buckets or provide ≥90-day fair redemption window after advice.</w:t>
            </w:r>
          </w:p>
        </w:tc>
      </w:tr>
    </w:tbl>
    <w:p>
      <w:pPr>
        <w:spacing w:after="20"/>
      </w:pPr>
    </w:p>
    <w:p>
      <w:pPr>
        <w:pStyle w:val="Heading1"/>
      </w:pPr>
      <w:r>
        <w:t>9. User experience and microcopy</w:t>
      </w:r>
    </w:p>
    <w:p>
      <w:pPr>
        <w:pStyle w:val="Heading2"/>
      </w:pPr>
      <w:r>
        <w:t>Wallet home</w:t>
      </w:r>
    </w:p>
    <w:p>
      <w:pPr>
        <w:pStyle w:val="ListBullet"/>
        <w:keepLines/>
        <w:widowControl/>
        <w:spacing w:after="100" w:line="300" w:lineRule="auto"/>
      </w:pPr>
      <w:r>
        <w:rPr>
          <w:rFonts w:ascii="Calibri" w:hAnsi="Calibri"/>
          <w:b w:val="0"/>
          <w:i w:val="0"/>
          <w:color w:val="151515"/>
          <w:sz w:val="21"/>
        </w:rPr>
        <w:t xml:space="preserve"> Balance: “6,000 HC · worth ₹60 on HOMIES.”</w:t>
      </w:r>
    </w:p>
    <w:p>
      <w:pPr>
        <w:pStyle w:val="ListBullet"/>
        <w:keepLines/>
        <w:widowControl/>
        <w:spacing w:after="100" w:line="300" w:lineRule="auto"/>
      </w:pPr>
      <w:r>
        <w:rPr>
          <w:rFonts w:ascii="Calibri" w:hAnsi="Calibri"/>
          <w:b w:val="0"/>
          <w:i w:val="0"/>
          <w:color w:val="151515"/>
          <w:sz w:val="21"/>
        </w:rPr>
        <w:t xml:space="preserve"> Loop: “Scene 1 complete. Your ₹40 Second Scene Key is live for 18 more days.”</w:t>
      </w:r>
    </w:p>
    <w:p>
      <w:pPr>
        <w:pStyle w:val="ListBullet"/>
        <w:keepLines/>
        <w:widowControl/>
        <w:spacing w:after="100" w:line="300" w:lineRule="auto"/>
      </w:pPr>
      <w:r>
        <w:rPr>
          <w:rFonts w:ascii="Calibri" w:hAnsi="Calibri"/>
          <w:b w:val="0"/>
          <w:i w:val="0"/>
          <w:color w:val="151515"/>
          <w:sz w:val="21"/>
        </w:rPr>
        <w:t xml:space="preserve"> Pending: “1,000 HC lands after your activity is completed.”</w:t>
      </w:r>
    </w:p>
    <w:p>
      <w:pPr>
        <w:pStyle w:val="ListBullet"/>
        <w:keepLines/>
        <w:widowControl/>
        <w:spacing w:after="100" w:line="300" w:lineRule="auto"/>
      </w:pPr>
      <w:r>
        <w:rPr>
          <w:rFonts w:ascii="Calibri" w:hAnsi="Calibri"/>
          <w:b w:val="0"/>
          <w:i w:val="0"/>
          <w:color w:val="151515"/>
          <w:sz w:val="21"/>
        </w:rPr>
        <w:t xml:space="preserve"> One recommended Drop with “Why this?” and Save / Upgrade / Squad choices.</w:t>
      </w:r>
    </w:p>
    <w:p>
      <w:pPr>
        <w:pStyle w:val="Heading2"/>
      </w:pPr>
      <w:r>
        <w:t>Checkout</w:t>
      </w:r>
    </w:p>
    <w:p>
      <w:pPr>
        <w:pStyle w:val="ListBullet"/>
        <w:keepLines/>
        <w:widowControl/>
        <w:spacing w:after="100" w:line="300" w:lineRule="auto"/>
      </w:pPr>
      <w:r>
        <w:rPr>
          <w:rFonts w:ascii="Calibri" w:hAnsi="Calibri"/>
          <w:b w:val="0"/>
          <w:i w:val="0"/>
          <w:color w:val="151515"/>
          <w:sz w:val="21"/>
        </w:rPr>
        <w:t xml:space="preserve"> “Use 4,500 HC (₹45)” with an unchecked confirmation control and visible cap explanation.</w:t>
      </w:r>
    </w:p>
    <w:p>
      <w:pPr>
        <w:pStyle w:val="ListBullet"/>
        <w:keepLines/>
        <w:widowControl/>
        <w:spacing w:after="100" w:line="300" w:lineRule="auto"/>
      </w:pPr>
      <w:r>
        <w:rPr>
          <w:rFonts w:ascii="Calibri" w:hAnsi="Calibri"/>
          <w:b w:val="0"/>
          <w:i w:val="0"/>
          <w:color w:val="151515"/>
          <w:sz w:val="21"/>
        </w:rPr>
        <w:t xml:space="preserve"> “Complete this scene to earn 800 HC (₹8) + 100 Vibe XP.”</w:t>
      </w:r>
    </w:p>
    <w:p>
      <w:pPr>
        <w:pStyle w:val="ListBullet"/>
        <w:keepLines/>
        <w:widowControl/>
        <w:spacing w:after="100" w:line="300" w:lineRule="auto"/>
      </w:pPr>
      <w:r>
        <w:rPr>
          <w:rFonts w:ascii="Calibri" w:hAnsi="Calibri"/>
          <w:b w:val="0"/>
          <w:i w:val="0"/>
          <w:color w:val="151515"/>
          <w:sz w:val="21"/>
        </w:rPr>
        <w:t xml:space="preserve"> Never preselect a reward combination worse than the best available coupon.</w:t>
      </w:r>
    </w:p>
    <w:p>
      <w:pPr>
        <w:pStyle w:val="Heading2"/>
      </w:pPr>
      <w:r>
        <w:t>Post-completion</w:t>
      </w:r>
    </w:p>
    <w:p>
      <w:pPr>
        <w:pStyle w:val="ListBullet"/>
        <w:keepLines/>
        <w:widowControl/>
        <w:spacing w:after="100" w:line="300" w:lineRule="auto"/>
      </w:pPr>
      <w:r>
        <w:rPr>
          <w:rFonts w:ascii="Calibri" w:hAnsi="Calibri"/>
          <w:b w:val="0"/>
          <w:i w:val="0"/>
          <w:color w:val="151515"/>
          <w:sz w:val="21"/>
        </w:rPr>
        <w:t xml:space="preserve"> “Scene complete. 800 HC (₹8) is now yours.”</w:t>
      </w:r>
    </w:p>
    <w:p>
      <w:pPr>
        <w:pStyle w:val="ListBullet"/>
        <w:keepLines/>
        <w:widowControl/>
        <w:spacing w:after="100" w:line="300" w:lineRule="auto"/>
      </w:pPr>
      <w:r>
        <w:rPr>
          <w:rFonts w:ascii="Calibri" w:hAnsi="Calibri"/>
          <w:b w:val="0"/>
          <w:i w:val="0"/>
          <w:color w:val="151515"/>
          <w:sz w:val="21"/>
        </w:rPr>
        <w:t xml:space="preserve"> After Scene 2: “You earned your invites. Pick how Scene 3 should hit: Save it, Upgrade it, or Squad it.”</w:t>
      </w:r>
    </w:p>
    <w:p>
      <w:pPr>
        <w:pStyle w:val="Heading2"/>
      </w:pPr>
      <w:r>
        <w:t>Notifications</w:t>
      </w:r>
    </w:p>
    <w:p>
      <w:pPr>
        <w:pStyle w:val="ListBullet"/>
        <w:keepLines/>
        <w:widowControl/>
        <w:spacing w:after="100" w:line="300" w:lineRule="auto"/>
      </w:pPr>
      <w:r>
        <w:rPr>
          <w:rFonts w:ascii="Calibri" w:hAnsi="Calibri"/>
          <w:b w:val="0"/>
          <w:i w:val="0"/>
          <w:color w:val="151515"/>
          <w:sz w:val="21"/>
        </w:rPr>
        <w:t xml:space="preserve"> Only: vested reward, genuine progress proximity, relevant Drop, inactivity expiry and status qualification. Enforce frequency caps and granular opt-outs.</w:t>
      </w:r>
    </w:p>
    <w:p>
      <w:pPr>
        <w:pStyle w:val="Heading1"/>
      </w:pPr>
      <w:r>
        <w:t>10. Growth and profitability flywheel</w:t>
      </w:r>
    </w:p>
    <w:tbl>
      <w:tblPr>
        <w:tblW w:type="dxa" w:w="9360"/>
        <w:jc w:val="left"/>
        <w:tblLayout w:type="fixed"/>
        <w:tblLook w:firstColumn="1" w:firstRow="1" w:lastColumn="0" w:lastRow="0" w:noHBand="0" w:noVBand="1" w:val="04A0"/>
        <w:tblInd w:w="120" w:type="dxa"/>
      </w:tblPr>
      <w:tblGrid>
        <w:gridCol w:w="1368"/>
        <w:gridCol w:w="2520"/>
        <w:gridCol w:w="3384"/>
        <w:gridCol w:w="2088"/>
      </w:tblGrid>
      <w:tr>
        <w:trPr>
          <w:tblHeader w:val="true"/>
        </w:trPr>
        <w:tc>
          <w:tcPr>
            <w:tcW w:type="dxa" w:w="136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Stage</w:t>
            </w:r>
          </w:p>
        </w:tc>
        <w:tc>
          <w:tcPr>
            <w:tcW w:type="dxa" w:w="252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Growth action</w:t>
            </w:r>
          </w:p>
        </w:tc>
        <w:tc>
          <w:tcPr>
            <w:tcW w:type="dxa" w:w="338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Why it compounds</w:t>
            </w:r>
          </w:p>
        </w:tc>
        <w:tc>
          <w:tcPr>
            <w:tcW w:type="dxa" w:w="208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Funding</w:t>
            </w:r>
          </w:p>
        </w:tc>
      </w:tr>
      <w:tr>
        <w:tc>
          <w:tcPr>
            <w:tcW w:type="dxa" w:w="13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1. Retain</w:t>
            </w:r>
          </w:p>
        </w:tc>
        <w:tc>
          <w:tcPr>
            <w:tcW w:type="dxa" w:w="25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₹40 Second Scene Key converts first completers</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Creates a pool of users with real product proof</w:t>
            </w:r>
          </w:p>
        </w:tc>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₹2,000 pilot</w:t>
            </w:r>
          </w:p>
        </w:tc>
      </w:tr>
      <w:tr>
        <w:tc>
          <w:tcPr>
            <w:tcW w:type="dxa" w:w="13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2. Qualify advocates</w:t>
            </w:r>
          </w:p>
        </w:tc>
        <w:tc>
          <w:tcPr>
            <w:tcW w:type="dxa" w:w="25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Earned Invites unlock after Scene 2</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Retained users refer with credibility</w:t>
            </w:r>
          </w:p>
        </w:tc>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₹0 access rule</w:t>
            </w:r>
          </w:p>
        </w:tc>
      </w:tr>
      <w:tr>
        <w:tc>
          <w:tcPr>
            <w:tcW w:type="dxa" w:w="13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3. Convert friends</w:t>
            </w:r>
          </w:p>
        </w:tc>
        <w:tc>
          <w:tcPr>
            <w:tcW w:type="dxa" w:w="25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 Crew Pass improves first experience</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New user value without broad cash burn</w:t>
            </w:r>
          </w:p>
        </w:tc>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 inventory</w:t>
            </w:r>
          </w:p>
        </w:tc>
      </w:tr>
      <w:tr>
        <w:tc>
          <w:tcPr>
            <w:tcW w:type="dxa" w:w="13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4. Form squads</w:t>
            </w:r>
          </w:p>
        </w:tc>
        <w:tc>
          <w:tcPr>
            <w:tcW w:type="dxa" w:w="25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Verified friends progress together</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Group plans create more seats/participants</w:t>
            </w:r>
          </w:p>
        </w:tc>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Partner / margin</w:t>
            </w:r>
          </w:p>
        </w:tc>
      </w:tr>
      <w:tr>
        <w:tc>
          <w:tcPr>
            <w:tcW w:type="dxa" w:w="13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5. Prove demand</w:t>
            </w:r>
          </w:p>
        </w:tc>
        <w:tc>
          <w:tcPr>
            <w:tcW w:type="dxa" w:w="25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Measure off-peak fill and incremental bookings</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Partners see attributable value</w:t>
            </w:r>
          </w:p>
        </w:tc>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Analytics</w:t>
            </w:r>
          </w:p>
        </w:tc>
      </w:tr>
      <w:tr>
        <w:tc>
          <w:tcPr>
            <w:tcW w:type="dxa" w:w="136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6. Improve Drops</w:t>
            </w:r>
          </w:p>
        </w:tc>
        <w:tc>
          <w:tcPr>
            <w:tcW w:type="dxa" w:w="25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Negotiate better partner-funded rewards</w:t>
            </w:r>
          </w:p>
        </w:tc>
        <w:tc>
          <w:tcPr>
            <w:tcW w:type="dxa" w:w="338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Higher perceived value raises retention</w:t>
            </w:r>
          </w:p>
        </w:tc>
        <w:tc>
          <w:tcPr>
            <w:tcW w:type="dxa" w:w="208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Partner</w:t>
            </w:r>
          </w:p>
        </w:tc>
      </w:tr>
      <w:tr>
        <w:tc>
          <w:tcPr>
            <w:tcW w:type="dxa" w:w="136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7. Profit</w:t>
            </w:r>
          </w:p>
        </w:tc>
        <w:tc>
          <w:tcPr>
            <w:tcW w:type="dxa" w:w="25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Keep ordinary cost within governor</w:t>
            </w:r>
          </w:p>
        </w:tc>
        <w:tc>
          <w:tcPr>
            <w:tcW w:type="dxa" w:w="338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Growth scales without devaluation</w:t>
            </w:r>
          </w:p>
        </w:tc>
        <w:tc>
          <w:tcPr>
            <w:tcW w:type="dxa" w:w="208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Positive CM</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shd w:fill="F4F5F7"/>
            <w:tcMar>
              <w:top w:w="80" w:type="dxa"/>
              <w:start w:w="120" w:type="dxa"/>
              <w:bottom w:w="80" w:type="dxa"/>
              <w:end w:w="120" w:type="dxa"/>
            </w:tcMar>
          </w:tcPr>
          <w:p>
            <w:pPr>
              <w:spacing w:after="0" w:line="276" w:lineRule="auto"/>
            </w:pPr>
            <w:r/>
            <w:r>
              <w:rPr>
                <w:rFonts w:ascii="Calibri" w:hAnsi="Calibri"/>
                <w:b/>
                <w:i w:val="0"/>
                <w:color w:val="FF5A1F"/>
                <w:sz w:val="18"/>
              </w:rPr>
              <w:t xml:space="preserve">NORTH-STAR  </w:t>
            </w:r>
            <w:r>
              <w:rPr>
                <w:rFonts w:ascii="Calibri" w:hAnsi="Calibri"/>
                <w:b/>
                <w:i w:val="0"/>
                <w:color w:val="151515"/>
                <w:sz w:val="22"/>
              </w:rPr>
              <w:t>Fast growth means completed users who return and bring real friends—not the largest install count. Optimize 90-day incremental contribution per first-time completer, with time-to-second-booking as the leading indicator.</w:t>
            </w:r>
          </w:p>
        </w:tc>
      </w:tr>
    </w:tbl>
    <w:p>
      <w:pPr>
        <w:spacing w:after="20"/>
      </w:pPr>
    </w:p>
    <w:p>
      <w:pPr>
        <w:pStyle w:val="Heading1"/>
      </w:pPr>
      <w:r>
        <w:t>11. Measurement and experiments</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Metric</w:t>
            </w:r>
          </w:p>
        </w:tc>
        <w:tc>
          <w:tcPr>
            <w:tcW w:type="dxa" w:w="712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Definition / decision use</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Second-booking conversion</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Users with a second completed booking ÷ first-time completers; compare pilot vs holdout.</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Time to Scene 2</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Median days from first to second completion.</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Scene 3 conversion</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Users reaching three completed scenes within 60/90 days.</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Incremental CM/user</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Treatment contribution after rewards minus randomized holdout.</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Reward efficiency</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Reward cost ÷ incremental contribution; must be &lt;1, target &lt;0.5 before scaling.</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Partner-funded share</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Partner-funded redeemed value ÷ total redeemed value.</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Quality growth</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Referred users completing Scene 1 and Scene 2; not links, installs or sign-ups.</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Trust guardrails</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Support contacts, reversal disputes, NPS/CSAT, expiry complaints.</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Risk</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Fraud/reversal rate, referral concentration, duplicate signals, liability aging.</w:t>
            </w:r>
          </w:p>
        </w:tc>
      </w:tr>
    </w:tbl>
    <w:p>
      <w:pPr>
        <w:spacing w:after="20"/>
      </w:pPr>
    </w:p>
    <w:p>
      <w:pPr>
        <w:pStyle w:val="Heading2"/>
      </w:pPr>
      <w:r>
        <w:t>Minimum experiment set</w:t>
      </w:r>
    </w:p>
    <w:p>
      <w:pPr>
        <w:pStyle w:val="ListNumber"/>
        <w:spacing w:after="80" w:line="300" w:lineRule="auto"/>
      </w:pPr>
      <w:r>
        <w:rPr>
          <w:rFonts w:ascii="Calibri" w:hAnsi="Calibri"/>
          <w:b w:val="0"/>
          <w:i w:val="0"/>
          <w:color w:val="151515"/>
          <w:sz w:val="21"/>
        </w:rPr>
        <w:t>Keep a 10–15% no-loyalty holdout where legally and operationally appropriate. Pre-register the cohort window and exclusions.</w:t>
      </w:r>
    </w:p>
    <w:p>
      <w:pPr>
        <w:pStyle w:val="ListNumber"/>
        <w:spacing w:after="80" w:line="300" w:lineRule="auto"/>
      </w:pPr>
      <w:r>
        <w:rPr>
          <w:rFonts w:ascii="Calibri" w:hAnsi="Calibri"/>
          <w:b w:val="0"/>
          <w:i w:val="0"/>
          <w:color w:val="151515"/>
          <w:sz w:val="21"/>
        </w:rPr>
        <w:t>Test ₹40 Second Scene Key vs a partner Drop with similar user-stated value; do not divide the ₹2,000 pilot across many weak offers.</w:t>
      </w:r>
    </w:p>
    <w:p>
      <w:pPr>
        <w:pStyle w:val="ListNumber"/>
        <w:spacing w:after="80" w:line="300" w:lineRule="auto"/>
      </w:pPr>
      <w:r>
        <w:rPr>
          <w:rFonts w:ascii="Calibri" w:hAnsi="Calibri"/>
          <w:b w:val="0"/>
          <w:i w:val="0"/>
          <w:color w:val="151515"/>
          <w:sz w:val="21"/>
        </w:rPr>
        <w:t>Test Choose Your Next Scene against wallet-only redemption after Scene 2.</w:t>
      </w:r>
    </w:p>
    <w:p>
      <w:pPr>
        <w:pStyle w:val="ListNumber"/>
        <w:spacing w:after="80" w:line="300" w:lineRule="auto"/>
      </w:pPr>
      <w:r>
        <w:rPr>
          <w:rFonts w:ascii="Calibri" w:hAnsi="Calibri"/>
          <w:b w:val="0"/>
          <w:i w:val="0"/>
          <w:color w:val="151515"/>
          <w:sz w:val="21"/>
        </w:rPr>
        <w:t>Test Earned Invites after Scene 2 against standard post-first-booking referral access.</w:t>
      </w:r>
    </w:p>
    <w:p>
      <w:pPr>
        <w:pStyle w:val="ListNumber"/>
        <w:spacing w:after="80" w:line="300" w:lineRule="auto"/>
      </w:pPr>
      <w:r>
        <w:rPr>
          <w:rFonts w:ascii="Calibri" w:hAnsi="Calibri"/>
          <w:b w:val="0"/>
          <w:i w:val="0"/>
          <w:color w:val="151515"/>
          <w:sz w:val="21"/>
        </w:rPr>
        <w:t>Test Squad Vault against individual partner Drops in matched categories/markets.</w:t>
      </w:r>
    </w:p>
    <w:p>
      <w:pPr>
        <w:pStyle w:val="ListNumber"/>
        <w:spacing w:after="80" w:line="300" w:lineRule="auto"/>
      </w:pPr>
      <w:r>
        <w:rPr>
          <w:rFonts w:ascii="Calibri" w:hAnsi="Calibri"/>
          <w:b w:val="0"/>
          <w:i w:val="0"/>
          <w:color w:val="151515"/>
          <w:sz w:val="21"/>
        </w:rPr>
        <w:t>Ship a treatment only if incremental contribution is non-negative at planned scale and customer, partner and fraud guardrails pass.</w:t>
      </w:r>
    </w:p>
    <w:p>
      <w:pPr>
        <w:pStyle w:val="Heading2"/>
      </w:pPr>
      <w:r>
        <w:t>Weekly governor</w:t>
      </w:r>
    </w:p>
    <w:tbl>
      <w:tblPr>
        <w:tblW w:type="dxa" w:w="9360"/>
        <w:jc w:val="left"/>
        <w:tblLayout w:type="fixed"/>
        <w:tblLook w:firstColumn="1" w:firstRow="1" w:lastColumn="0" w:lastRow="0" w:noHBand="0" w:noVBand="1" w:val="04A0"/>
        <w:tblInd w:w="120" w:type="dxa"/>
      </w:tblPr>
      <w:tblGrid>
        <w:gridCol w:w="1296"/>
        <w:gridCol w:w="3960"/>
        <w:gridCol w:w="4104"/>
      </w:tblGrid>
      <w:tr>
        <w:trPr>
          <w:tblHeader w:val="true"/>
        </w:trPr>
        <w:tc>
          <w:tcPr>
            <w:tcW w:type="dxa" w:w="1296"/>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State</w:t>
            </w:r>
          </w:p>
        </w:tc>
        <w:tc>
          <w:tcPr>
            <w:tcW w:type="dxa" w:w="396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Trigger</w:t>
            </w:r>
          </w:p>
        </w:tc>
        <w:tc>
          <w:tcPr>
            <w:tcW w:type="dxa" w:w="4104"/>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Action</w:t>
            </w:r>
          </w:p>
        </w:tc>
      </w:tr>
      <w:tr>
        <w:tc>
          <w:tcPr>
            <w:tcW w:type="dxa" w:w="129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GREEN</w:t>
            </w:r>
          </w:p>
        </w:tc>
        <w:tc>
          <w:tcPr>
            <w:tcW w:type="dxa" w:w="39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Loyalty cost ≤15% CM0; incremental CM positive; fraud stable</w:t>
            </w:r>
          </w:p>
        </w:tc>
        <w:tc>
          <w:tcPr>
            <w:tcW w:type="dxa" w:w="410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Test targeted expansion or better funded Drops.</w:t>
            </w:r>
          </w:p>
        </w:tc>
      </w:tr>
      <w:tr>
        <w:tc>
          <w:tcPr>
            <w:tcW w:type="dxa" w:w="1296"/>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AMBER</w:t>
            </w:r>
          </w:p>
        </w:tc>
        <w:tc>
          <w:tcPr>
            <w:tcW w:type="dxa" w:w="396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15–20% CM0, liability above plan, or evidence immature</w:t>
            </w:r>
          </w:p>
        </w:tc>
        <w:tc>
          <w:tcPr>
            <w:tcW w:type="dxa" w:w="4104"/>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Pause broad bonuses; preserve base conversion and vested value.</w:t>
            </w:r>
          </w:p>
        </w:tc>
      </w:tr>
      <w:tr>
        <w:tc>
          <w:tcPr>
            <w:tcW w:type="dxa" w:w="1296"/>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RED</w:t>
            </w:r>
          </w:p>
        </w:tc>
        <w:tc>
          <w:tcPr>
            <w:tcW w:type="dxa" w:w="396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&gt;20% CM0, negative incremental CM, pilot &gt;₹2,000, abuse spike or ledger mismatch</w:t>
            </w:r>
          </w:p>
        </w:tc>
        <w:tc>
          <w:tcPr>
            <w:tcW w:type="dxa" w:w="4104"/>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Stop new promotional issuance; preserve earned value; investigate before restart.</w:t>
            </w:r>
          </w:p>
        </w:tc>
      </w:tr>
    </w:tbl>
    <w:p>
      <w:pPr>
        <w:spacing w:after="20"/>
      </w:pPr>
    </w:p>
    <w:p>
      <w:pPr>
        <w:pStyle w:val="Heading1"/>
      </w:pPr>
      <w:r>
        <w:t>12. Engineering and rules engine</w:t>
      </w:r>
    </w:p>
    <w:p>
      <w:pPr>
        <w:pStyle w:val="ListBullet"/>
        <w:keepLines/>
        <w:widowControl/>
        <w:spacing w:after="100" w:line="300" w:lineRule="auto"/>
      </w:pPr>
      <w:r>
        <w:rPr>
          <w:rFonts w:ascii="Calibri" w:hAnsi="Calibri"/>
          <w:b w:val="0"/>
          <w:i w:val="0"/>
          <w:color w:val="151515"/>
          <w:sz w:val="21"/>
        </w:rPr>
        <w:t xml:space="preserve"> Immutable event ledger; derived balances. States: pending, available, reserved, redeemed, reversed and expired.</w:t>
      </w:r>
    </w:p>
    <w:p>
      <w:pPr>
        <w:pStyle w:val="ListBullet"/>
        <w:keepLines/>
        <w:widowControl/>
        <w:spacing w:after="100" w:line="300" w:lineRule="auto"/>
      </w:pPr>
      <w:r>
        <w:rPr>
          <w:rFonts w:ascii="Calibri" w:hAnsi="Calibri"/>
          <w:b w:val="0"/>
          <w:i w:val="0"/>
          <w:color w:val="151515"/>
          <w:sz w:val="21"/>
        </w:rPr>
        <w:t xml:space="preserve"> Idempotency key for earn, completion, redemption, refund, expiry and partner-settlement events.</w:t>
      </w:r>
    </w:p>
    <w:p>
      <w:pPr>
        <w:pStyle w:val="ListBullet"/>
        <w:keepLines/>
        <w:widowControl/>
        <w:spacing w:after="100" w:line="300" w:lineRule="auto"/>
      </w:pPr>
      <w:r>
        <w:rPr>
          <w:rFonts w:ascii="Calibri" w:hAnsi="Calibri"/>
          <w:b w:val="0"/>
          <w:i w:val="0"/>
          <w:color w:val="151515"/>
          <w:sz w:val="21"/>
        </w:rPr>
        <w:t xml:space="preserve"> Core entities: loyalty_account, loyalty_event, balance_bucket, earn_rule, redemption_rule, loop_progress, second_scene_key, campaign_budget, vibe_status, reward_inventory, partner_funding, squad, squad_member, fraud_signal and experiment_assignment.</w:t>
      </w:r>
    </w:p>
    <w:p>
      <w:pPr>
        <w:pStyle w:val="ListBullet"/>
        <w:keepLines/>
        <w:widowControl/>
        <w:spacing w:after="100" w:line="300" w:lineRule="auto"/>
      </w:pPr>
      <w:r>
        <w:rPr>
          <w:rFonts w:ascii="Calibri" w:hAnsi="Calibri"/>
          <w:b w:val="0"/>
          <w:i w:val="0"/>
          <w:color w:val="151515"/>
          <w:sz w:val="21"/>
        </w:rPr>
        <w:t xml:space="preserve"> Each HC bucket stores source, quantity, conversion version, funding owner, vesting trigger, eligibility restriction, expiry and remaining amount. Consume earliest-expiring eligible buckets first.</w:t>
      </w:r>
    </w:p>
    <w:p>
      <w:pPr>
        <w:pStyle w:val="ListBullet"/>
        <w:keepLines/>
        <w:widowControl/>
        <w:spacing w:after="100" w:line="300" w:lineRule="auto"/>
      </w:pPr>
      <w:r>
        <w:rPr>
          <w:rFonts w:ascii="Calibri" w:hAnsi="Calibri"/>
          <w:b w:val="0"/>
          <w:i w:val="0"/>
          <w:color w:val="151515"/>
          <w:sz w:val="21"/>
        </w:rPr>
        <w:t xml:space="preserve"> Each campaign reserves budget before issue, actualizes on redemption, releases expired reservations according to disclosed rules and stops automatically at cap.</w:t>
      </w:r>
    </w:p>
    <w:p>
      <w:pPr>
        <w:pStyle w:val="ListBullet"/>
        <w:keepLines/>
        <w:widowControl/>
        <w:spacing w:after="100" w:line="300" w:lineRule="auto"/>
      </w:pPr>
      <w:r>
        <w:rPr>
          <w:rFonts w:ascii="Calibri" w:hAnsi="Calibri"/>
          <w:b w:val="0"/>
          <w:i w:val="0"/>
          <w:color w:val="151515"/>
          <w:sz w:val="21"/>
        </w:rPr>
        <w:t xml:space="preserve"> Admin adjustments require reason, approver, before/after balance and audit trail. Publish an appeal path for reversals.</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Event</w:t>
            </w:r>
          </w:p>
        </w:tc>
        <w:tc>
          <w:tcPr>
            <w:tcW w:type="dxa" w:w="712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Required behavior</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booking_paid</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Create pending base earn; reserve applicable promo budget.</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activity_completed</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Start risk-window timer; advance Loop/XP if eligible.</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risk_window_cleared</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Vest HC and promotional key; unlock next journey action.</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checkout_reserve</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Reserve eligible HC buckets and reward inventory; require user confirmation.</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booking_confirmed</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Finalize HC redemption and partner inventory.</w:t>
            </w:r>
          </w:p>
        </w:tc>
      </w:tr>
      <w:tr>
        <w:tc>
          <w:tcPr>
            <w:tcW w:type="dxa" w:w="223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refund_or_chargeback</w:t>
            </w:r>
          </w:p>
        </w:tc>
        <w:tc>
          <w:tcPr>
            <w:tcW w:type="dxa" w:w="71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Reverse pending/vested earn pro rata; restore/adjust redeemed HC per policy.</w:t>
            </w:r>
          </w:p>
        </w:tc>
      </w:tr>
      <w:tr>
        <w:tc>
          <w:tcPr>
            <w:tcW w:type="dxa" w:w="223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campaign_cap_reached</w:t>
            </w:r>
          </w:p>
        </w:tc>
        <w:tc>
          <w:tcPr>
            <w:tcW w:type="dxa" w:w="71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Block new issues atomically; do not invalidate already reserved entitlements.</w:t>
            </w:r>
          </w:p>
        </w:tc>
      </w:tr>
    </w:tbl>
    <w:p>
      <w:pPr>
        <w:spacing w:after="20"/>
      </w:pPr>
    </w:p>
    <w:p>
      <w:pPr>
        <w:pStyle w:val="Heading1"/>
      </w:pPr>
      <w:r>
        <w:t>13. Rollout plan</w:t>
      </w:r>
    </w:p>
    <w:tbl>
      <w:tblPr>
        <w:tblW w:type="dxa" w:w="9360"/>
        <w:jc w:val="left"/>
        <w:tblLayout w:type="fixed"/>
        <w:tblLook w:firstColumn="1" w:firstRow="1" w:lastColumn="0" w:lastRow="0" w:noHBand="0" w:noVBand="1" w:val="04A0"/>
        <w:tblInd w:w="120" w:type="dxa"/>
      </w:tblPr>
      <w:tblGrid>
        <w:gridCol w:w="1728"/>
        <w:gridCol w:w="4320"/>
        <w:gridCol w:w="3312"/>
      </w:tblGrid>
      <w:tr>
        <w:trPr>
          <w:tblHeader w:val="true"/>
        </w:trPr>
        <w:tc>
          <w:tcPr>
            <w:tcW w:type="dxa" w:w="1728"/>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Phase</w:t>
            </w:r>
          </w:p>
        </w:tc>
        <w:tc>
          <w:tcPr>
            <w:tcW w:type="dxa" w:w="4320"/>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Scope</w:t>
            </w:r>
          </w:p>
        </w:tc>
        <w:tc>
          <w:tcPr>
            <w:tcW w:type="dxa" w:w="3312"/>
            <w:vAlign w:val="center"/>
            <w:shd w:fill="151515"/>
            <w:tcMar>
              <w:top w:w="80" w:type="dxa"/>
              <w:start w:w="120" w:type="dxa"/>
              <w:bottom w:w="80" w:type="dxa"/>
              <w:end w:w="120" w:type="dxa"/>
            </w:tcMar>
          </w:tcPr>
          <w:p>
            <w:pPr>
              <w:spacing w:after="0" w:line="259" w:lineRule="auto"/>
              <w:jc w:val="left"/>
            </w:pPr>
            <w:r/>
            <w:r>
              <w:rPr>
                <w:rFonts w:ascii="Calibri" w:hAnsi="Calibri"/>
                <w:b/>
                <w:i w:val="0"/>
                <w:color w:val="FFFFFF"/>
                <w:sz w:val="17"/>
              </w:rPr>
              <w:t>Exit gate</w:t>
            </w:r>
          </w:p>
        </w:tc>
      </w:tr>
      <w:tr>
        <w:tc>
          <w:tcPr>
            <w:tcW w:type="dxa" w:w="17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0. Instrument</w:t>
            </w:r>
          </w:p>
        </w:tc>
        <w:tc>
          <w:tcPr>
            <w:tcW w:type="dxa" w:w="43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Legal/tax/payment classification; ledger; margins; reversals; budget stop; support scripts; 10 partner Drops.</w:t>
            </w:r>
          </w:p>
        </w:tc>
        <w:tc>
          <w:tcPr>
            <w:tcW w:type="dxa" w:w="33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End-to-end reconciliation passes; ₹2,000 cap cannot be exceeded.</w:t>
            </w:r>
          </w:p>
        </w:tc>
      </w:tr>
      <w:tr>
        <w:tc>
          <w:tcPr>
            <w:tcW w:type="dxa" w:w="17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1. Closed beta</w:t>
            </w:r>
          </w:p>
        </w:tc>
        <w:tc>
          <w:tcPr>
            <w:tcW w:type="dxa" w:w="43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Team/invited users; shadow rewards before live issue.</w:t>
            </w:r>
          </w:p>
        </w:tc>
        <w:tc>
          <w:tcPr>
            <w:tcW w:type="dxa" w:w="33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No ledger mismatch; refund and expiry UX understood.</w:t>
            </w:r>
          </w:p>
        </w:tc>
      </w:tr>
      <w:tr>
        <w:tc>
          <w:tcPr>
            <w:tcW w:type="dxa" w:w="17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2. Second Scene pilot</w:t>
            </w:r>
          </w:p>
        </w:tc>
        <w:tc>
          <w:tcPr>
            <w:tcW w:type="dxa" w:w="43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First 50 eligible users; ₹40 keys; randomized holdout; founder weekly review.</w:t>
            </w:r>
          </w:p>
        </w:tc>
        <w:tc>
          <w:tcPr>
            <w:tcW w:type="dxa" w:w="33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Mature booking-two cohort; support/fraud within guardrails.</w:t>
            </w:r>
          </w:p>
        </w:tc>
      </w:tr>
      <w:tr>
        <w:tc>
          <w:tcPr>
            <w:tcW w:type="dxa" w:w="17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3. Retention layer</w:t>
            </w:r>
          </w:p>
        </w:tc>
        <w:tc>
          <w:tcPr>
            <w:tcW w:type="dxa" w:w="43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Choose Your Next Scene, Vibe XP, Earned Invites; limited partner Drops.</w:t>
            </w:r>
          </w:p>
        </w:tc>
        <w:tc>
          <w:tcPr>
            <w:tcW w:type="dxa" w:w="33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Scene 3 lift and incremental CM non-negative.</w:t>
            </w:r>
          </w:p>
        </w:tc>
      </w:tr>
      <w:tr>
        <w:tc>
          <w:tcPr>
            <w:tcW w:type="dxa" w:w="17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4. Social growth</w:t>
            </w:r>
          </w:p>
        </w:tc>
        <w:tc>
          <w:tcPr>
            <w:tcW w:type="dxa" w:w="43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Squad Vault in matched markets/categories.</w:t>
            </w:r>
          </w:p>
        </w:tc>
        <w:tc>
          <w:tcPr>
            <w:tcW w:type="dxa" w:w="33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Verified group conversion and partner economics pass.</w:t>
            </w:r>
          </w:p>
        </w:tc>
      </w:tr>
      <w:tr>
        <w:tc>
          <w:tcPr>
            <w:tcW w:type="dxa" w:w="1728"/>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5. Scale</w:t>
            </w:r>
          </w:p>
        </w:tc>
        <w:tc>
          <w:tcPr>
            <w:tcW w:type="dxa" w:w="4320"/>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Expand categories/cities; negotiate higher partner funding.</w:t>
            </w:r>
          </w:p>
        </w:tc>
        <w:tc>
          <w:tcPr>
            <w:tcW w:type="dxa" w:w="3312"/>
            <w:vAlign w:val="center"/>
            <w:shd w:fill="FFFFFF"/>
            <w:tcMar>
              <w:top w:w="80" w:type="dxa"/>
              <w:start w:w="120" w:type="dxa"/>
              <w:bottom w:w="80" w:type="dxa"/>
              <w:end w:w="120" w:type="dxa"/>
            </w:tcMar>
          </w:tcPr>
          <w:p>
            <w:pPr>
              <w:spacing w:after="0" w:line="259" w:lineRule="auto"/>
              <w:jc w:val="left"/>
            </w:pPr>
            <w:r/>
            <w:r>
              <w:rPr>
                <w:rFonts w:ascii="Calibri" w:hAnsi="Calibri"/>
                <w:b w:val="0"/>
                <w:i w:val="0"/>
                <w:color w:val="151515"/>
                <w:sz w:val="18"/>
              </w:rPr>
              <w:t>Governor remains Green over two meaningful booking cycles.</w:t>
            </w:r>
          </w:p>
        </w:tc>
      </w:tr>
      <w:tr>
        <w:tc>
          <w:tcPr>
            <w:tcW w:type="dxa" w:w="1728"/>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6. Later only</w:t>
            </w:r>
          </w:p>
        </w:tc>
        <w:tc>
          <w:tcPr>
            <w:tcW w:type="dxa" w:w="4320"/>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Consider HOMIES+ membership or higher base earn.</w:t>
            </w:r>
          </w:p>
        </w:tc>
        <w:tc>
          <w:tcPr>
            <w:tcW w:type="dxa" w:w="3312"/>
            <w:vAlign w:val="center"/>
            <w:shd w:fill="F4F5F7"/>
            <w:tcMar>
              <w:top w:w="80" w:type="dxa"/>
              <w:start w:w="120" w:type="dxa"/>
              <w:bottom w:w="80" w:type="dxa"/>
              <w:end w:w="120" w:type="dxa"/>
            </w:tcMar>
          </w:tcPr>
          <w:p>
            <w:pPr>
              <w:spacing w:after="0" w:line="259" w:lineRule="auto"/>
              <w:jc w:val="left"/>
            </w:pPr>
            <w:r/>
            <w:r>
              <w:rPr>
                <w:rFonts w:ascii="Calibri" w:hAnsi="Calibri"/>
                <w:b w:val="0"/>
                <w:i w:val="0"/>
                <w:color w:val="151515"/>
                <w:sz w:val="18"/>
              </w:rPr>
              <w:t>Recurring partner-funded value clearly exceeds price; regulatory review complete.</w:t>
            </w:r>
          </w:p>
        </w:tc>
      </w:tr>
    </w:tbl>
    <w:p>
      <w:pPr>
        <w:spacing w:after="20"/>
      </w:pPr>
    </w:p>
    <w:p>
      <w:pPr>
        <w:pStyle w:val="Heading1"/>
      </w:pPr>
      <w:r>
        <w:t>14. Legal, accounting and trust guardrails</w:t>
      </w:r>
    </w:p>
    <w:tbl>
      <w:tblPr>
        <w:tblW w:type="dxa" w:w="9360"/>
        <w:jc w:val="left"/>
        <w:tblLayout w:type="fixed"/>
        <w:tblLook w:firstColumn="1" w:firstRow="1" w:lastColumn="0" w:lastRow="0" w:noHBand="0" w:noVBand="1" w:val="04A0"/>
        <w:tblInd w:w="120" w:type="dxa"/>
      </w:tblPr>
      <w:tblGrid>
        <w:gridCol w:w="9360"/>
      </w:tblGrid>
      <w:tr>
        <w:tc>
          <w:tcPr>
            <w:tcW w:type="dxa" w:w="9360"/>
            <w:shd w:fill="F4F5F7"/>
            <w:tcMar>
              <w:top w:w="80" w:type="dxa"/>
              <w:start w:w="120" w:type="dxa"/>
              <w:bottom w:w="80" w:type="dxa"/>
              <w:end w:w="120" w:type="dxa"/>
            </w:tcMar>
          </w:tcPr>
          <w:p>
            <w:pPr>
              <w:spacing w:after="0" w:line="276" w:lineRule="auto"/>
            </w:pPr>
            <w:r/>
            <w:r>
              <w:rPr>
                <w:rFonts w:ascii="Calibri" w:hAnsi="Calibri"/>
                <w:b/>
                <w:i w:val="0"/>
                <w:color w:val="FF5A1F"/>
                <w:sz w:val="18"/>
              </w:rPr>
              <w:t xml:space="preserve">REQUIRED REVIEW  </w:t>
            </w:r>
            <w:r>
              <w:rPr>
                <w:rFonts w:ascii="Calibri" w:hAnsi="Calibri"/>
                <w:b/>
                <w:i w:val="0"/>
                <w:color w:val="151515"/>
                <w:sz w:val="22"/>
              </w:rPr>
              <w:t>Before launch, obtain written Indian CA/tax and payments/consumer counsel on principal-vs-agent structure, GST invoice order, point liability, partner settlement, PPI risk, expiry, minors and privacy. This document is a product/economics recommendation, not legal advice.</w:t>
            </w:r>
          </w:p>
        </w:tc>
      </w:tr>
    </w:tbl>
    <w:p>
      <w:pPr>
        <w:spacing w:after="20"/>
      </w:pPr>
    </w:p>
    <w:p>
      <w:pPr>
        <w:pStyle w:val="ListBullet"/>
        <w:keepLines/>
        <w:widowControl/>
        <w:spacing w:after="100" w:line="300" w:lineRule="auto"/>
      </w:pPr>
      <w:r>
        <w:rPr>
          <w:rFonts w:ascii="Calibri" w:hAnsi="Calibri"/>
          <w:b w:val="0"/>
          <w:i w:val="0"/>
          <w:color w:val="151515"/>
          <w:sz w:val="21"/>
        </w:rPr>
        <w:t xml:space="preserve"> Loyalty benefits may create a performance obligation/contract liability; finance must estimate redemption and reconcile outstanding HC.</w:t>
      </w:r>
    </w:p>
    <w:p>
      <w:pPr>
        <w:pStyle w:val="ListBullet"/>
        <w:keepLines/>
        <w:widowControl/>
        <w:spacing w:after="100" w:line="300" w:lineRule="auto"/>
      </w:pPr>
      <w:r>
        <w:rPr>
          <w:rFonts w:ascii="Calibri" w:hAnsi="Calibri"/>
          <w:b w:val="0"/>
          <w:i w:val="0"/>
          <w:color w:val="151515"/>
          <w:sz w:val="21"/>
        </w:rPr>
        <w:t xml:space="preserve"> Because HOMIES is a marketplace of independent activity providers, do not assume a closed-system payment exemption without payments advice.</w:t>
      </w:r>
    </w:p>
    <w:p>
      <w:pPr>
        <w:pStyle w:val="ListBullet"/>
        <w:keepLines/>
        <w:widowControl/>
        <w:spacing w:after="100" w:line="300" w:lineRule="auto"/>
      </w:pPr>
      <w:r>
        <w:rPr>
          <w:rFonts w:ascii="Calibri" w:hAnsi="Calibri"/>
          <w:b w:val="0"/>
          <w:i w:val="0"/>
          <w:color w:val="151515"/>
          <w:sz w:val="21"/>
        </w:rPr>
        <w:t xml:space="preserve"> Terms must plainly disclose value, eligibility, caps, vesting, exclusions, expiry, refunds, partner funding, campaign inventory, rule changes and support/appeal paths.</w:t>
      </w:r>
    </w:p>
    <w:p>
      <w:pPr>
        <w:pStyle w:val="ListBullet"/>
        <w:keepLines/>
        <w:widowControl/>
        <w:spacing w:after="100" w:line="300" w:lineRule="auto"/>
      </w:pPr>
      <w:r>
        <w:rPr>
          <w:rFonts w:ascii="Calibri" w:hAnsi="Calibri"/>
          <w:b w:val="0"/>
          <w:i w:val="0"/>
          <w:color w:val="151515"/>
          <w:sz w:val="21"/>
        </w:rPr>
        <w:t xml:space="preserve"> Personalized recommendations must use a clear purpose, minimal data, appropriate consent/notice and controls; use special care around children/minors.</w:t>
      </w:r>
    </w:p>
    <w:p>
      <w:pPr>
        <w:pStyle w:val="ListBullet"/>
        <w:keepLines/>
        <w:widowControl/>
        <w:spacing w:after="100" w:line="300" w:lineRule="auto"/>
      </w:pPr>
      <w:r>
        <w:rPr>
          <w:rFonts w:ascii="Calibri" w:hAnsi="Calibri"/>
          <w:b w:val="0"/>
          <w:i w:val="0"/>
          <w:color w:val="151515"/>
          <w:sz w:val="21"/>
        </w:rPr>
        <w:t xml:space="preserve"> No fake countdowns, hidden odds, paid/random spins, deceptive urgency, retroactive devaluation or confusing multi-currency cash claims.</w:t>
      </w:r>
    </w:p>
    <w:p>
      <w:pPr>
        <w:pStyle w:val="Heading1"/>
      </w:pPr>
      <w:r>
        <w:t>What HOMIES must not launch</w:t>
      </w:r>
    </w:p>
    <w:p>
      <w:pPr>
        <w:pStyle w:val="ListBullet"/>
        <w:keepLines/>
        <w:widowControl/>
        <w:spacing w:after="100" w:line="300" w:lineRule="auto"/>
      </w:pPr>
      <w:r>
        <w:rPr>
          <w:rFonts w:ascii="Calibri" w:hAnsi="Calibri"/>
          <w:b w:val="0"/>
          <w:i w:val="0"/>
          <w:color w:val="151515"/>
          <w:sz w:val="21"/>
        </w:rPr>
        <w:t xml:space="preserve"> ₹10 spent = 1 point and 1 point = ₹1: that is a universal 10% future discount.</w:t>
      </w:r>
    </w:p>
    <w:p>
      <w:pPr>
        <w:pStyle w:val="ListBullet"/>
        <w:keepLines/>
        <w:widowControl/>
        <w:spacing w:after="100" w:line="300" w:lineRule="auto"/>
      </w:pPr>
      <w:r>
        <w:rPr>
          <w:rFonts w:ascii="Calibri" w:hAnsi="Calibri"/>
          <w:b w:val="0"/>
          <w:i w:val="0"/>
          <w:color w:val="151515"/>
          <w:sz w:val="21"/>
        </w:rPr>
        <w:t xml:space="preserve"> A permanent 3–5% base rate before take rate, refunds, support and category margins are known.</w:t>
      </w:r>
    </w:p>
    <w:p>
      <w:pPr>
        <w:pStyle w:val="ListBullet"/>
        <w:keepLines/>
        <w:widowControl/>
        <w:spacing w:after="100" w:line="300" w:lineRule="auto"/>
      </w:pPr>
      <w:r>
        <w:rPr>
          <w:rFonts w:ascii="Calibri" w:hAnsi="Calibri"/>
          <w:b w:val="0"/>
          <w:i w:val="0"/>
          <w:color w:val="151515"/>
          <w:sz w:val="21"/>
        </w:rPr>
        <w:t xml:space="preserve"> Rewards for installs, sign-ups, daily check-ins, browsing, unverified reviews or incomplete referrals.</w:t>
      </w:r>
    </w:p>
    <w:p>
      <w:pPr>
        <w:pStyle w:val="ListBullet"/>
        <w:keepLines/>
        <w:widowControl/>
        <w:spacing w:after="100" w:line="300" w:lineRule="auto"/>
      </w:pPr>
      <w:r>
        <w:rPr>
          <w:rFonts w:ascii="Calibri" w:hAnsi="Calibri"/>
          <w:b w:val="0"/>
          <w:i w:val="0"/>
          <w:color w:val="151515"/>
          <w:sz w:val="21"/>
        </w:rPr>
        <w:t xml:space="preserve"> Coins credited before the activity and risk window complete.</w:t>
      </w:r>
    </w:p>
    <w:p>
      <w:pPr>
        <w:pStyle w:val="ListBullet"/>
        <w:keepLines/>
        <w:widowControl/>
        <w:spacing w:after="100" w:line="300" w:lineRule="auto"/>
      </w:pPr>
      <w:r>
        <w:rPr>
          <w:rFonts w:ascii="Calibri" w:hAnsi="Calibri"/>
          <w:b w:val="0"/>
          <w:i w:val="0"/>
          <w:color w:val="151515"/>
          <w:sz w:val="21"/>
        </w:rPr>
        <w:t xml:space="preserve"> Universal 5×/10× campaigns without order, user and total budget caps.</w:t>
      </w:r>
    </w:p>
    <w:p>
      <w:pPr>
        <w:pStyle w:val="ListBullet"/>
        <w:keepLines/>
        <w:widowControl/>
        <w:spacing w:after="100" w:line="300" w:lineRule="auto"/>
      </w:pPr>
      <w:r>
        <w:rPr>
          <w:rFonts w:ascii="Calibri" w:hAnsi="Calibri"/>
          <w:b w:val="0"/>
          <w:i w:val="0"/>
          <w:color w:val="151515"/>
          <w:sz w:val="21"/>
        </w:rPr>
        <w:t xml:space="preserve"> Random scratch cards, paid spins, near misses or “better luck next time.”</w:t>
      </w:r>
    </w:p>
    <w:p>
      <w:pPr>
        <w:pStyle w:val="ListBullet"/>
        <w:keepLines/>
        <w:widowControl/>
        <w:spacing w:after="100" w:line="300" w:lineRule="auto"/>
      </w:pPr>
      <w:r>
        <w:rPr>
          <w:rFonts w:ascii="Calibri" w:hAnsi="Calibri"/>
          <w:b w:val="0"/>
          <w:i w:val="0"/>
          <w:color w:val="151515"/>
          <w:sz w:val="21"/>
        </w:rPr>
        <w:t xml:space="preserve"> A high redemption threshold that makes typical users wait months.</w:t>
      </w:r>
    </w:p>
    <w:p>
      <w:pPr>
        <w:pStyle w:val="ListBullet"/>
        <w:keepLines/>
        <w:widowControl/>
        <w:spacing w:after="100" w:line="300" w:lineRule="auto"/>
      </w:pPr>
      <w:r>
        <w:rPr>
          <w:rFonts w:ascii="Calibri" w:hAnsi="Calibri"/>
          <w:b w:val="0"/>
          <w:i w:val="0"/>
          <w:color w:val="151515"/>
          <w:sz w:val="21"/>
        </w:rPr>
        <w:t xml:space="preserve"> Hard short expiry, surprise confiscation or retrospective conversion changes.</w:t>
      </w:r>
    </w:p>
    <w:p>
      <w:pPr>
        <w:pStyle w:val="ListBullet"/>
        <w:keepLines/>
        <w:widowControl/>
        <w:spacing w:after="100" w:line="300" w:lineRule="auto"/>
      </w:pPr>
      <w:r>
        <w:rPr>
          <w:rFonts w:ascii="Calibri" w:hAnsi="Calibri"/>
          <w:b w:val="0"/>
          <w:i w:val="0"/>
          <w:color w:val="151515"/>
          <w:sz w:val="21"/>
        </w:rPr>
        <w:t xml:space="preserve"> Cash transfers, withdrawals, purchased HC or pooled Squad money at launch.</w:t>
      </w:r>
    </w:p>
    <w:p>
      <w:pPr>
        <w:pStyle w:val="ListBullet"/>
        <w:keepLines/>
        <w:widowControl/>
        <w:spacing w:after="100" w:line="300" w:lineRule="auto"/>
      </w:pPr>
      <w:r>
        <w:rPr>
          <w:rFonts w:ascii="Calibri" w:hAnsi="Calibri"/>
          <w:b w:val="0"/>
          <w:i w:val="0"/>
          <w:color w:val="151515"/>
          <w:sz w:val="21"/>
        </w:rPr>
        <w:t xml:space="preserve"> Member-vs-nonmember comparisons presented as causal proof.</w:t>
      </w:r>
    </w:p>
    <w:p>
      <w:pPr>
        <w:pStyle w:val="Heading1"/>
      </w:pPr>
      <w:r>
        <w:t>Founder launch checklist</w:t>
      </w:r>
    </w:p>
    <w:p>
      <w:pPr>
        <w:pStyle w:val="ListBullet"/>
        <w:keepLines/>
        <w:widowControl/>
        <w:spacing w:after="100" w:line="300" w:lineRule="auto"/>
      </w:pPr>
      <w:r>
        <w:rPr>
          <w:rFonts w:ascii="Calibri" w:hAnsi="Calibri"/>
          <w:b w:val="0"/>
          <w:i w:val="0"/>
          <w:color w:val="151515"/>
          <w:sz w:val="21"/>
        </w:rPr>
        <w:t xml:space="preserve"> Category-level take rate, payment cost, refund loss, support cost and partner subsidy measured.</w:t>
      </w:r>
    </w:p>
    <w:p>
      <w:pPr>
        <w:pStyle w:val="ListBullet"/>
        <w:keepLines/>
        <w:widowControl/>
        <w:spacing w:after="100" w:line="300" w:lineRule="auto"/>
      </w:pPr>
      <w:r>
        <w:rPr>
          <w:rFonts w:ascii="Calibri" w:hAnsi="Calibri"/>
          <w:b w:val="0"/>
          <w:i w:val="0"/>
          <w:color w:val="151515"/>
          <w:sz w:val="21"/>
        </w:rPr>
        <w:t xml:space="preserve"> ₹2,000 pilot ledger and atomic stop tested under concurrency and refunds.</w:t>
      </w:r>
    </w:p>
    <w:p>
      <w:pPr>
        <w:pStyle w:val="ListBullet"/>
        <w:keepLines/>
        <w:widowControl/>
        <w:spacing w:after="100" w:line="300" w:lineRule="auto"/>
      </w:pPr>
      <w:r>
        <w:rPr>
          <w:rFonts w:ascii="Calibri" w:hAnsi="Calibri"/>
          <w:b w:val="0"/>
          <w:i w:val="0"/>
          <w:color w:val="151515"/>
          <w:sz w:val="21"/>
        </w:rPr>
        <w:t xml:space="preserve"> 100 HC = ₹1 and every cap/exclusion displayed consistently in product and terms.</w:t>
      </w:r>
    </w:p>
    <w:p>
      <w:pPr>
        <w:pStyle w:val="ListBullet"/>
        <w:keepLines/>
        <w:widowControl/>
        <w:spacing w:after="100" w:line="300" w:lineRule="auto"/>
      </w:pPr>
      <w:r>
        <w:rPr>
          <w:rFonts w:ascii="Calibri" w:hAnsi="Calibri"/>
          <w:b w:val="0"/>
          <w:i w:val="0"/>
          <w:color w:val="151515"/>
          <w:sz w:val="21"/>
        </w:rPr>
        <w:t xml:space="preserve"> Ordinary reward governor uses the stricter 1% GMV / 20% positive CM0 cap.</w:t>
      </w:r>
    </w:p>
    <w:p>
      <w:pPr>
        <w:pStyle w:val="ListBullet"/>
        <w:keepLines/>
        <w:widowControl/>
        <w:spacing w:after="100" w:line="300" w:lineRule="auto"/>
      </w:pPr>
      <w:r>
        <w:rPr>
          <w:rFonts w:ascii="Calibri" w:hAnsi="Calibri"/>
          <w:b w:val="0"/>
          <w:i w:val="0"/>
          <w:color w:val="151515"/>
          <w:sz w:val="21"/>
        </w:rPr>
        <w:t xml:space="preserve"> At least 10 credible partner-funded Drops with real inventory and cost/funding records.</w:t>
      </w:r>
    </w:p>
    <w:p>
      <w:pPr>
        <w:pStyle w:val="ListBullet"/>
        <w:keepLines/>
        <w:widowControl/>
        <w:spacing w:after="100" w:line="300" w:lineRule="auto"/>
      </w:pPr>
      <w:r>
        <w:rPr>
          <w:rFonts w:ascii="Calibri" w:hAnsi="Calibri"/>
          <w:b w:val="0"/>
          <w:i w:val="0"/>
          <w:color w:val="151515"/>
          <w:sz w:val="21"/>
        </w:rPr>
        <w:t xml:space="preserve"> Randomized holdout stable; dashboard reports Scene 2, Scene 3 and incremental CM.</w:t>
      </w:r>
    </w:p>
    <w:p>
      <w:pPr>
        <w:pStyle w:val="ListBullet"/>
        <w:keepLines/>
        <w:widowControl/>
        <w:spacing w:after="100" w:line="300" w:lineRule="auto"/>
      </w:pPr>
      <w:r>
        <w:rPr>
          <w:rFonts w:ascii="Calibri" w:hAnsi="Calibri"/>
          <w:b w:val="0"/>
          <w:i w:val="0"/>
          <w:color w:val="151515"/>
          <w:sz w:val="21"/>
        </w:rPr>
        <w:t xml:space="preserve"> Support can explain pending, vesting, expiry, refunds, negative adjustments and appeals.</w:t>
      </w:r>
    </w:p>
    <w:p>
      <w:pPr>
        <w:pStyle w:val="ListBullet"/>
        <w:keepLines/>
        <w:widowControl/>
        <w:spacing w:after="100" w:line="300" w:lineRule="auto"/>
      </w:pPr>
      <w:r>
        <w:rPr>
          <w:rFonts w:ascii="Calibri" w:hAnsi="Calibri"/>
          <w:b w:val="0"/>
          <w:i w:val="0"/>
          <w:color w:val="151515"/>
          <w:sz w:val="21"/>
        </w:rPr>
        <w:t xml:space="preserve"> CA/tax, payments, consumer, privacy and minors review completed.</w:t>
      </w:r>
    </w:p>
    <w:p>
      <w:pPr>
        <w:pStyle w:val="ListBullet"/>
        <w:keepLines/>
        <w:widowControl/>
        <w:spacing w:after="100" w:line="300" w:lineRule="auto"/>
      </w:pPr>
      <w:r>
        <w:rPr>
          <w:rFonts w:ascii="Calibri" w:hAnsi="Calibri"/>
          <w:b w:val="0"/>
          <w:i w:val="0"/>
          <w:color w:val="151515"/>
          <w:sz w:val="21"/>
        </w:rPr>
        <w:t xml:space="preserve"> No treatment scales until two meaningful booking cycles mature and the governor is Green.</w:t>
      </w:r>
    </w:p>
    <w:p>
      <w:pPr>
        <w:pStyle w:val="Heading1"/>
      </w:pPr>
      <w:r>
        <w:t>Research basis and limitations</w:t>
      </w:r>
    </w:p>
    <w:p>
      <w:pPr>
        <w:keepNext w:val="0"/>
        <w:spacing w:before="0" w:after="120" w:line="300" w:lineRule="auto"/>
      </w:pPr>
      <w:r>
        <w:rPr>
          <w:rFonts w:ascii="Calibri" w:hAnsi="Calibri"/>
          <w:b w:val="0"/>
          <w:i w:val="0"/>
          <w:color w:val="151515"/>
          <w:sz w:val="22"/>
        </w:rPr>
        <w:t>This master version unifies the three supplied HOMIES documents. It prioritizes maximum retention under the previously defined ₹2,000 burn ceiling. HOMIES still has no live take rate, category margin, repeat curve, refund/chargeback data or signed partner-funding economics; therefore every number outside the hard pilot cap is a launch hypothesis governed by real data.</w:t>
      </w:r>
    </w:p>
    <w:p>
      <w:pPr>
        <w:keepNext w:val="0"/>
        <w:spacing w:before="0" w:after="120" w:line="300" w:lineRule="auto"/>
      </w:pPr>
      <w:r>
        <w:rPr>
          <w:rFonts w:ascii="Calibri" w:hAnsi="Calibri"/>
          <w:b w:val="0"/>
          <w:i/>
          <w:color w:val="626262"/>
          <w:sz w:val="19"/>
        </w:rPr>
        <w:t>Academic findings and surveys are directional across different categories and populations. Program terms can change. The system becomes “best” through ethical UX, randomized measurement, partner value creation and automatic margin control—not through novelty language alone.</w:t>
      </w:r>
    </w:p>
    <w:p>
      <w:pPr>
        <w:pStyle w:val="Heading1"/>
      </w:pPr>
      <w:r>
        <w:t>Selected sources</w:t>
      </w:r>
    </w:p>
    <w:p>
      <w:pPr>
        <w:pStyle w:val="ListBullet"/>
        <w:keepLines/>
        <w:spacing w:after="80" w:line="276" w:lineRule="auto"/>
      </w:pPr>
      <w:r>
        <w:rPr>
          <w:rFonts w:ascii="Calibri" w:hAnsi="Calibri"/>
          <w:b/>
          <w:i w:val="0"/>
          <w:color w:val="151515"/>
          <w:sz w:val="18"/>
        </w:rPr>
        <w:t xml:space="preserve"> Deloitte, 2024 Consumer Loyalty Survey. </w:t>
      </w:r>
      <w:hyperlink r:id="rId11">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Nunes &amp; Drèze (2006), The Endowed Progress Effect. </w:t>
      </w:r>
      <w:hyperlink r:id="rId12">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Kivetz, Urminsky &amp; Zheng (2006), Goal-Gradient Hypothesis. </w:t>
      </w:r>
      <w:hyperlink r:id="rId13">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Hsee et al. (2003), Medium Maximization. </w:t>
      </w:r>
      <w:hyperlink r:id="rId14">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Leenheer et al. (2007), Do loyalty programs enhance behavioral loyalty?. </w:t>
      </w:r>
      <w:hyperlink r:id="rId15">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Belli et al. (2022), 40 years of loyalty programs. </w:t>
      </w:r>
      <w:hyperlink r:id="rId16">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Flipkart, Loyalty Plus Terms. </w:t>
      </w:r>
      <w:hyperlink r:id="rId17">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Zomato Gold and Terms. </w:t>
      </w:r>
      <w:hyperlink r:id="rId18">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Swiggy One partner privileges. </w:t>
      </w:r>
      <w:hyperlink r:id="rId19">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IndiGo BluChip loyalty. </w:t>
      </w:r>
      <w:hyperlink r:id="rId20">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IFRS Foundation, IFRS 15 loyalty illustrative examples. </w:t>
      </w:r>
      <w:hyperlink r:id="rId21">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Reserve Bank of India, PPI Master Directions. </w:t>
      </w:r>
      <w:hyperlink r:id="rId22">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Department of Consumer Affairs, Consumer Protection resources. </w:t>
      </w:r>
      <w:hyperlink r:id="rId23">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CCPA, Guidelines for Prevention and Regulation of Dark Patterns. </w:t>
      </w:r>
      <w:hyperlink r:id="rId24">
        <w:r>
          <w:rPr>
            <w:color w:val="626262"/>
            <w:u w:val="single"/>
            <w:sz w:val="18"/>
          </w:rPr>
          <w:t>Open source</w:t>
        </w:r>
      </w:hyperlink>
    </w:p>
    <w:p>
      <w:pPr>
        <w:pStyle w:val="ListBullet"/>
        <w:keepLines/>
        <w:spacing w:after="80" w:line="276" w:lineRule="auto"/>
      </w:pPr>
      <w:r>
        <w:rPr>
          <w:rFonts w:ascii="Calibri" w:hAnsi="Calibri"/>
          <w:b/>
          <w:i w:val="0"/>
          <w:color w:val="151515"/>
          <w:sz w:val="18"/>
        </w:rPr>
        <w:t xml:space="preserve"> MeitY, Digital Personal Data Protection Act 2023. </w:t>
      </w:r>
      <w:hyperlink r:id="rId25">
        <w:r>
          <w:rPr>
            <w:color w:val="626262"/>
            <w:u w:val="single"/>
            <w:sz w:val="18"/>
          </w:rPr>
          <w:t>Open source</w:t>
        </w:r>
      </w:hyperlink>
    </w:p>
    <w:p>
      <w:pPr>
        <w:keepNext w:val="0"/>
        <w:spacing w:before="0" w:after="0" w:line="300" w:lineRule="auto"/>
      </w:pPr>
      <w:r>
        <w:rPr>
          <w:rFonts w:ascii="Calibri" w:hAnsi="Calibri"/>
          <w:b w:val="0"/>
          <w:i/>
          <w:color w:val="626262"/>
          <w:sz w:val="17"/>
        </w:rPr>
        <w:t>Canonical master version prepared 26 August 2026 from the three supplied HOMIES loyalty reports. Product, economics and implementation decisions are explicit; legal/tax treatment remains subject to the actual entity, invoicing and settlement flow.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262"/>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26262"/>
        <w:sz w:val="16"/>
      </w:rPr>
      <w:t>HOMIES LOOP  /  MASTER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515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5151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FF5A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151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eloitte.com/global/en/industries/consumer/perspectives/consumer-loyalty-survey.html" TargetMode="External"/><Relationship Id="rId12" Type="http://schemas.openxmlformats.org/officeDocument/2006/relationships/hyperlink" Target="https://academic.oup.com/jcr/article-abstract/32/4/504/1787425" TargetMode="External"/><Relationship Id="rId13" Type="http://schemas.openxmlformats.org/officeDocument/2006/relationships/hyperlink" Target="https://journals.sagepub.com/doi/abs/10.1509/jmkr.43.1.39" TargetMode="External"/><Relationship Id="rId14" Type="http://schemas.openxmlformats.org/officeDocument/2006/relationships/hyperlink" Target="https://academic.oup.com/jcr/article-abstract/30/1/1/1801715" TargetMode="External"/><Relationship Id="rId15" Type="http://schemas.openxmlformats.org/officeDocument/2006/relationships/hyperlink" Target="https://researchcommons.waikato.ac.nz/entities/publication/0c795feb-73b7-4374-96b2-dd236b787eb0" TargetMode="External"/><Relationship Id="rId16" Type="http://schemas.openxmlformats.org/officeDocument/2006/relationships/hyperlink" Target="https://link.springer.com/article/10.1007/s11747-021-00804-z" TargetMode="External"/><Relationship Id="rId17" Type="http://schemas.openxmlformats.org/officeDocument/2006/relationships/hyperlink" Target="https://www.flipkart.com/pages/loyalty-plus-tnc" TargetMode="External"/><Relationship Id="rId18" Type="http://schemas.openxmlformats.org/officeDocument/2006/relationships/hyperlink" Target="https://www.zomato.com/policies/terms-of-service/" TargetMode="External"/><Relationship Id="rId19" Type="http://schemas.openxmlformats.org/officeDocument/2006/relationships/hyperlink" Target="https://www.swiggy.com/corporate/press-release/swiggy-one-introduces-new-privileges-with-partners-like-yatra-cinepolis-amazon-prime-disney-hotstar-and-more/" TargetMode="External"/><Relationship Id="rId20" Type="http://schemas.openxmlformats.org/officeDocument/2006/relationships/hyperlink" Target="https://www.goindigo.in/loyalty" TargetMode="External"/><Relationship Id="rId21" Type="http://schemas.openxmlformats.org/officeDocument/2006/relationships/hyperlink" Target="https://www.ifrs.org/content/dam/ifrs/publications/html-standards/english/2026/issued/ifrs15-ie.html" TargetMode="External"/><Relationship Id="rId22" Type="http://schemas.openxmlformats.org/officeDocument/2006/relationships/hyperlink" Target="https://rbi.org.in/scripts/BS_ViewMasDirections.aspx?id=12156" TargetMode="External"/><Relationship Id="rId23" Type="http://schemas.openxmlformats.org/officeDocument/2006/relationships/hyperlink" Target="https://consumeraffairs.gov.in/pages/consumer-protection-acts" TargetMode="External"/><Relationship Id="rId24" Type="http://schemas.openxmlformats.org/officeDocument/2006/relationships/hyperlink" Target="https://ccpa.doca.gov.in/guidelines.php" TargetMode="External"/><Relationship Id="rId25" Type="http://schemas.openxmlformats.org/officeDocument/2006/relationships/hyperlink" Target="https://www.meity.gov.in/static/uploads/2024/06/2bf1f0e9f04e6fb4f8fef35e82c42aa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HOMIES LOOP: Master Loyalty System</dc:title>
  <dc:subject>Retention-first loyalty, growth and margin-control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