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378C3" w14:textId="24877596" w:rsidR="00E46A69" w:rsidRDefault="0067128A">
      <w:pPr>
        <w:rPr>
          <w:rFonts w:ascii="宋体" w:eastAsia="宋体" w:hAnsi="宋体"/>
          <w:b/>
          <w:sz w:val="34"/>
        </w:rPr>
      </w:pPr>
      <w:r>
        <w:rPr>
          <w:rFonts w:ascii="宋体" w:eastAsia="宋体" w:hAnsi="宋体"/>
          <w:b/>
          <w:sz w:val="34"/>
        </w:rPr>
        <w:t>CUTFGWD 工作总结报告</w:t>
      </w:r>
    </w:p>
    <w:p w14:paraId="2E85022D" w14:textId="3FB13D82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时序图知识蒸馏：动机、方法、实验与可复现清单</w:t>
      </w:r>
    </w:p>
    <w:p w14:paraId="1FA15ABE" w14:textId="77777777" w:rsidR="0067128A" w:rsidRDefault="0067128A">
      <w:pPr>
        <w:rPr>
          <w:rFonts w:ascii="宋体" w:eastAsia="宋体" w:hAnsi="宋体"/>
          <w:sz w:val="22"/>
        </w:rPr>
      </w:pPr>
    </w:p>
    <w:p w14:paraId="30C1860B" w14:textId="0B402945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0. 背景与工作范围</w:t>
      </w:r>
    </w:p>
    <w:p w14:paraId="26F24C92" w14:textId="38703469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本文档总结 CUTFGWD（时序图知识蒸馏）方法从代码审查、工程实现到系统实验的全过程，覆盖 19 张实验表。结论以「配对多 seed + 全量官方 val」为口径：先解决评测方差，再判断方法效应。</w:t>
      </w:r>
    </w:p>
    <w:p w14:paraId="26859AD5" w14:textId="77777777" w:rsidR="0067128A" w:rsidRDefault="0067128A">
      <w:pPr>
        <w:rPr>
          <w:rFonts w:ascii="宋体" w:eastAsia="宋体" w:hAnsi="宋体"/>
          <w:sz w:val="22"/>
        </w:rPr>
      </w:pPr>
    </w:p>
    <w:p w14:paraId="629CC5A6" w14:textId="3357666B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1. 动机</w:t>
      </w:r>
    </w:p>
    <w:p w14:paraId="2D926E21" w14:textId="6597A521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TGN 教师精度高，但推理依赖 memory、时间注意力与邻居采样，延迟/内存大、难部署；MLP 无图依赖、推理快，但缺结构与时序信息、精度低。故用知识蒸馏把教师知识转给轻量学生，兼顾精度与可部署性。</w:t>
      </w:r>
    </w:p>
    <w:p w14:paraId="69E8D433" w14:textId="2421A715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部署目标：希望学生具备「图无关」（推理不需要访问图/邻居）与「低延迟」特性，从而适配延迟敏感场景。</w:t>
      </w:r>
    </w:p>
    <w:p w14:paraId="1E4BFD1B" w14:textId="6439BACA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为何用最优传输（OT）：教师关系信息是「变长历史 token 轨迹」，学生是「固定关系槽」，二者不等长、无配对，逐元素 MSE/余弦无法对齐；Gromov-Wasserstein 类 OT 可同时对齐特征与关系结构，故提出 CUT-FGW（非平衡时序 Fused GW）。</w:t>
      </w:r>
    </w:p>
    <w:p w14:paraId="79BEBE2E" w14:textId="2592EF1C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核心问题：OT 是否为有效的蒸馏目标？对「图无关 MLP」还是「结构化学生」更有效？</w:t>
      </w:r>
    </w:p>
    <w:p w14:paraId="439DCA59" w14:textId="77777777" w:rsidR="0067128A" w:rsidRDefault="0067128A">
      <w:pPr>
        <w:rPr>
          <w:rFonts w:ascii="宋体" w:eastAsia="宋体" w:hAnsi="宋体"/>
          <w:sz w:val="22"/>
        </w:rPr>
      </w:pPr>
    </w:p>
    <w:p w14:paraId="2285AA9B" w14:textId="7CEEC1C4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2. 方法</w:t>
      </w:r>
    </w:p>
    <w:p w14:paraId="1AFE3C9A" w14:textId="2667A302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2.1 教师与学生</w:t>
      </w:r>
    </w:p>
    <w:p w14:paraId="27C811EE" w14:textId="4164A6F6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教师 PyGTGNTeacher：TGNMemory + TransformerConv 时间图注意力 + LinkPredictor + relation_projector（另有固定 relation_align_head，仅作自监督对齐、不进入打分路径）。</w:t>
      </w:r>
    </w:p>
    <w:p w14:paraId="5C47866B" w14:textId="3EFC9E1F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学生：LightSTMLPStudent（图无关，仅读节点特征/ID/时间，含固定关系槽）；LightGNNStudent（1 层邻居 mean-pooling，作消融/上界）。</w:t>
      </w:r>
    </w:p>
    <w:p w14:paraId="61FE9433" w14:textId="7E885372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2.2 图无关输入特征（仅用训练集统计，推理期静态，无泄漏）</w:t>
      </w:r>
    </w:p>
    <w:p w14:paraId="58A85DE6" w14:textId="4E272568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basic(5)：出度/入度/活跃度/首末出现位置；rich(12)：再加唯一邻居、二跳、互惠、PageRank、近期活跃度、位置 std；nbr/nbr2/nbr3：basic + 1/2/3 跳邻居特征均值（SGC/GLNN 式预计算聚合）。</w:t>
      </w:r>
    </w:p>
    <w:p w14:paraId="0DCEA51B" w14:textId="4BA0B561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2.3 蒸馏目标（loss/distillation.py）</w:t>
      </w:r>
    </w:p>
    <w:p w14:paraId="174FFBC2" w14:textId="727A02E3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L = w_task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CE + w_logit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KL + w_rank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W1 + w_anchor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anchor + w_relation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OT + w_div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div + w_embed</w:t>
      </w:r>
      <w:r>
        <w:rPr>
          <w:rFonts w:ascii="Consolas" w:eastAsia="宋体" w:hAnsi="Consolas" w:hint="eastAsia"/>
          <w:sz w:val="18"/>
        </w:rPr>
        <w:t>·</w:t>
      </w:r>
      <w:r>
        <w:rPr>
          <w:rFonts w:ascii="Consolas" w:eastAsia="宋体" w:hAnsi="Consolas" w:hint="eastAsia"/>
          <w:sz w:val="18"/>
        </w:rPr>
        <w:t>embed</w:t>
      </w:r>
    </w:p>
    <w:p w14:paraId="66A2F41D" w14:textId="147BEA15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各信号含义：logit=候选预测分布（KL）；rank=候选排序结构（Wasserstein-1）；anchor=按年龄锚定的关系表示对齐；relation=关系轨迹的结构最优传输（CUT-FGW）；diversity=关系槽多样性正则；embed=学生投影表示与教师上下文嵌入的特征级对齐。</w:t>
      </w:r>
    </w:p>
    <w:p w14:paraId="744B877E" w14:textId="1099D0CE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CUT-FGW：代价 = fused_alpha·属性代价(年龄) + (1-fused_alpha)·结构代价；结构代价 = memory_weight·(token 两两关系矩阵) + dynamics_weight·(相邻 token 差分)。用非平衡 Sinkhorn 在 FGW 近端迭代中更新传输 plan，以适配不等长集合。</w:t>
      </w:r>
    </w:p>
    <w:p w14:paraId="3BC18825" w14:textId="0A90CA49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关键修正：anchor 年龄需逐样本重标定到 [0,1]，否则所有学生槽会塌缩到同一教师 token（匹配退化为常数）。</w:t>
      </w:r>
    </w:p>
    <w:p w14:paraId="5ECB56C7" w14:textId="39CCF5F9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2.4 评测与降方差</w:t>
      </w:r>
    </w:p>
    <w:p w14:paraId="6966D64B" w14:textId="2937DE4E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官方 TGB MRR（时间划分与负采样协议不变）；官方评测由「逐事件」改为「每批 16 事件」前向（已验证与逐事件数值一致，约 2× 提速）；--dropout 0.3 用于降方差。</w:t>
      </w:r>
    </w:p>
    <w:p w14:paraId="503AF9B3" w14:textId="77777777" w:rsidR="0067128A" w:rsidRDefault="0067128A">
      <w:pPr>
        <w:rPr>
          <w:rFonts w:ascii="宋体" w:eastAsia="宋体" w:hAnsi="宋体"/>
          <w:sz w:val="22"/>
        </w:rPr>
      </w:pPr>
    </w:p>
    <w:p w14:paraId="2AAC9A0C" w14:textId="3A9E87DE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3. 实验</w:t>
      </w:r>
    </w:p>
    <w:p w14:paraId="1987C3DE" w14:textId="0871CED4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设置：tgbl-wiki；教师 test MRR=0.6806（冻结）；学生 20 epochs；指标 = 官方 test MRR。</w:t>
      </w:r>
    </w:p>
    <w:p w14:paraId="6CE1256F" w14:textId="1466066B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3.1 方差（关键前提）</w:t>
      </w:r>
    </w:p>
    <w:p w14:paraId="08FB2A02" w14:textId="268741C1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dropout 0.1 : mean 0.4279, std 0.0248    |    dropout 0.3 : mean 0.4423, std 0.0014</w:t>
      </w:r>
    </w:p>
    <w:p w14:paraId="450D705C" w14:textId="2F9C4567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dropout 0.3 同时提升均值并把方差降约 18 倍；此前一切「看似有效」的结论多为 seed 噪声。</w:t>
      </w:r>
    </w:p>
    <w:p w14:paraId="5E24DDB5" w14:textId="475A3E66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失败尝试：dropout=0 崩到 0.34–0.38；EMA 无改善；低 LR/强 weight-decay 更差。</w:t>
      </w:r>
    </w:p>
    <w:p w14:paraId="06DDE458" w14:textId="098DBD4B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3.2 有功效协议下的对比（dropout 0.3，全量 val）</w:t>
      </w:r>
    </w:p>
    <w:p w14:paraId="280B02DB" w14:textId="497950A4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对比</w:t>
      </w:r>
      <w:r>
        <w:rPr>
          <w:rFonts w:ascii="Consolas" w:eastAsia="宋体" w:hAnsi="Consolas" w:hint="eastAsia"/>
          <w:sz w:val="18"/>
        </w:rPr>
        <w:t xml:space="preserve">                        | </w:t>
      </w:r>
      <w:r>
        <w:rPr>
          <w:rFonts w:ascii="Consolas" w:eastAsia="宋体" w:hAnsi="Consolas" w:hint="eastAsia"/>
          <w:sz w:val="18"/>
        </w:rPr>
        <w:t>效应</w:t>
      </w:r>
      <w:r>
        <w:rPr>
          <w:rFonts w:ascii="Consolas" w:eastAsia="宋体" w:hAnsi="Consolas" w:hint="eastAsia"/>
          <w:sz w:val="18"/>
        </w:rPr>
        <w:t xml:space="preserve">    | </w:t>
      </w:r>
      <w:r>
        <w:rPr>
          <w:rFonts w:ascii="Consolas" w:eastAsia="宋体" w:hAnsi="Consolas" w:hint="eastAsia"/>
          <w:sz w:val="18"/>
        </w:rPr>
        <w:t>判定</w:t>
      </w:r>
    </w:p>
    <w:p w14:paraId="78EAE43E" w14:textId="66431E6D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>结构</w:t>
      </w:r>
      <w:r>
        <w:rPr>
          <w:rFonts w:ascii="Consolas" w:eastAsia="宋体" w:hAnsi="Consolas" w:hint="eastAsia"/>
          <w:sz w:val="18"/>
        </w:rPr>
        <w:t xml:space="preserve"> GNN vs MLP (sup, n=3)  | +0.027  | </w:t>
      </w:r>
      <w:r>
        <w:rPr>
          <w:rFonts w:ascii="Consolas" w:eastAsia="宋体" w:hAnsi="Consolas" w:hint="eastAsia"/>
          <w:sz w:val="18"/>
        </w:rPr>
        <w:t>大且稳定</w:t>
      </w:r>
    </w:p>
    <w:p w14:paraId="03E6373A" w14:textId="31E14E50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 </w:t>
      </w:r>
      <w:r>
        <w:rPr>
          <w:rFonts w:ascii="Consolas" w:eastAsia="宋体" w:hAnsi="Consolas" w:hint="eastAsia"/>
          <w:sz w:val="18"/>
        </w:rPr>
        <w:t>特征</w:t>
      </w:r>
      <w:r>
        <w:rPr>
          <w:rFonts w:ascii="Consolas" w:eastAsia="宋体" w:hAnsi="Consolas" w:hint="eastAsia"/>
          <w:sz w:val="18"/>
        </w:rPr>
        <w:t xml:space="preserve"> nbr2 vs basic      | -0.003  | </w:t>
      </w:r>
      <w:r>
        <w:rPr>
          <w:rFonts w:ascii="Consolas" w:eastAsia="宋体" w:hAnsi="Consolas" w:hint="eastAsia"/>
          <w:sz w:val="18"/>
        </w:rPr>
        <w:t>无差异</w:t>
      </w:r>
    </w:p>
    <w:p w14:paraId="5583CAF1" w14:textId="3C0D6AB3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MLP(nbr2)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vs sup       | +0.002  | </w:t>
      </w:r>
      <w:r>
        <w:rPr>
          <w:rFonts w:ascii="Consolas" w:eastAsia="宋体" w:hAnsi="Consolas" w:hint="eastAsia"/>
          <w:sz w:val="18"/>
        </w:rPr>
        <w:t>不显著</w:t>
      </w:r>
    </w:p>
    <w:p w14:paraId="7E741D21" w14:textId="478E7964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MLP(basic)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vs sup      | -0.009  | </w:t>
      </w:r>
      <w:r>
        <w:rPr>
          <w:rFonts w:ascii="Consolas" w:eastAsia="宋体" w:hAnsi="Consolas" w:hint="eastAsia"/>
          <w:sz w:val="18"/>
        </w:rPr>
        <w:t>显著为负</w:t>
      </w:r>
    </w:p>
    <w:p w14:paraId="3D9E65D7" w14:textId="00B5D096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</w:t>
      </w:r>
      <w:r>
        <w:rPr>
          <w:rFonts w:ascii="Consolas" w:eastAsia="宋体" w:hAnsi="Consolas" w:hint="eastAsia"/>
          <w:sz w:val="18"/>
        </w:rPr>
        <w:t>蒸馏</w:t>
      </w:r>
      <w:r>
        <w:rPr>
          <w:rFonts w:ascii="Consolas" w:eastAsia="宋体" w:hAnsi="Consolas" w:hint="eastAsia"/>
          <w:sz w:val="18"/>
        </w:rPr>
        <w:t xml:space="preserve"> rel=1.0 vs sup     | +0.006  | </w:t>
      </w:r>
      <w:r>
        <w:rPr>
          <w:rFonts w:ascii="Consolas" w:eastAsia="宋体" w:hAnsi="Consolas" w:hint="eastAsia"/>
          <w:sz w:val="18"/>
        </w:rPr>
        <w:t>不显著</w:t>
      </w:r>
    </w:p>
    <w:p w14:paraId="28148EFC" w14:textId="37BE2AB2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OT rel=0.5 vs sup       | +0.020  | </w:t>
      </w:r>
      <w:r>
        <w:rPr>
          <w:rFonts w:ascii="Consolas" w:eastAsia="宋体" w:hAnsi="Consolas" w:hint="eastAsia"/>
          <w:sz w:val="18"/>
        </w:rPr>
        <w:t>显著</w:t>
      </w:r>
      <w:r>
        <w:rPr>
          <w:rFonts w:ascii="Consolas" w:eastAsia="宋体" w:hAnsi="Consolas" w:hint="eastAsia"/>
          <w:sz w:val="18"/>
        </w:rPr>
        <w:t xml:space="preserve"> (t</w:t>
      </w:r>
      <w:r>
        <w:rPr>
          <w:rFonts w:ascii="Consolas" w:eastAsia="宋体" w:hAnsi="Consolas" w:hint="eastAsia"/>
          <w:sz w:val="18"/>
        </w:rPr>
        <w:t>≈</w:t>
      </w:r>
      <w:r>
        <w:rPr>
          <w:rFonts w:ascii="Consolas" w:eastAsia="宋体" w:hAnsi="Consolas" w:hint="eastAsia"/>
          <w:sz w:val="18"/>
        </w:rPr>
        <w:t>5.5, n=6)</w:t>
      </w:r>
    </w:p>
    <w:p w14:paraId="54100149" w14:textId="050E3D04" w:rsidR="0067128A" w:rsidRDefault="0067128A">
      <w:pPr>
        <w:rPr>
          <w:rFonts w:ascii="Consolas" w:eastAsia="宋体" w:hAnsi="Consolas" w:hint="eastAsia"/>
          <w:sz w:val="18"/>
        </w:rPr>
      </w:pPr>
      <w:r>
        <w:rPr>
          <w:rFonts w:ascii="Consolas" w:eastAsia="宋体" w:hAnsi="Consolas" w:hint="eastAsia"/>
          <w:sz w:val="18"/>
        </w:rPr>
        <w:t xml:space="preserve">GNN OT fa=0.5 vs sup        | +0.025  | </w:t>
      </w:r>
      <w:r>
        <w:rPr>
          <w:rFonts w:ascii="Consolas" w:eastAsia="宋体" w:hAnsi="Consolas" w:hint="eastAsia"/>
          <w:sz w:val="18"/>
        </w:rPr>
        <w:t>显著</w:t>
      </w:r>
      <w:r>
        <w:rPr>
          <w:rFonts w:ascii="Consolas" w:eastAsia="宋体" w:hAnsi="Consolas" w:hint="eastAsia"/>
          <w:sz w:val="18"/>
        </w:rPr>
        <w:t xml:space="preserve"> (t</w:t>
      </w:r>
      <w:r>
        <w:rPr>
          <w:rFonts w:ascii="Consolas" w:eastAsia="宋体" w:hAnsi="Consolas" w:hint="eastAsia"/>
          <w:sz w:val="18"/>
        </w:rPr>
        <w:t>≈</w:t>
      </w:r>
      <w:r>
        <w:rPr>
          <w:rFonts w:ascii="Consolas" w:eastAsia="宋体" w:hAnsi="Consolas" w:hint="eastAsia"/>
          <w:sz w:val="18"/>
        </w:rPr>
        <w:t>2.8, n=6)</w:t>
      </w:r>
    </w:p>
    <w:p w14:paraId="6821EA82" w14:textId="782E6AFE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3.3 其他发现</w:t>
      </w:r>
    </w:p>
    <w:p w14:paraId="48577D23" w14:textId="5F688CDE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--ot-fast（fgw 4→2、sinkhorn 20→8）约 4× 提速，精度基本持平；OT 计算约占额外 73 ms/batch。</w:t>
      </w:r>
    </w:p>
    <w:p w14:paraId="610290DB" w14:textId="3A7C01FE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anchor 对 MLP 有害；嵌入级蒸馏直接对齐共享表示会崩溃（0.128），改为独立投影头 + 小权重后修复、但无增益（0.4410）。</w:t>
      </w:r>
    </w:p>
    <w:p w14:paraId="4115A457" w14:textId="764E666F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多跳邻居聚合：nbr2（2 跳）在单 seed 下看似最优（0.4538），但有功效协议下与 basic 无显著差异。</w:t>
      </w:r>
    </w:p>
    <w:p w14:paraId="373D9A47" w14:textId="515462AB" w:rsidR="0067128A" w:rsidRDefault="0067128A">
      <w:pPr>
        <w:rPr>
          <w:rFonts w:ascii="宋体" w:eastAsia="宋体" w:hAnsi="宋体"/>
          <w:b/>
          <w:sz w:val="24"/>
        </w:rPr>
      </w:pPr>
      <w:r>
        <w:rPr>
          <w:rFonts w:ascii="宋体" w:eastAsia="宋体" w:hAnsi="宋体"/>
          <w:b/>
          <w:sz w:val="24"/>
        </w:rPr>
        <w:t>3.4 结论</w:t>
      </w:r>
    </w:p>
    <w:p w14:paraId="75D33DFB" w14:textId="43FDC6B0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结构是稳健的大效应：1 层 GNN 学生比图无关 MLP 高约 +0.027。</w:t>
      </w:r>
    </w:p>
    <w:p w14:paraId="3F85EF0A" w14:textId="10301E63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OT（CUT-FGW）在结构化 GNN 学生上显著有效：relation_weight=0.5 或 fused_alpha=0.5 → 相对监督 +0.020~0.025（n=6，显著）；此前 +0.006 不显著是因 OT 权重过大（rel=1.0）。推荐 rel=0.5（更稳，+0.020, t≈5.5）。</w:t>
      </w:r>
    </w:p>
    <w:p w14:paraId="2C0E096F" w14:textId="318CBBD8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图无关 MLP 上 OT/邻域特征无可靠增益（弱特征时蒸馏甚至显著为负）；MLP 天花板约 0.44–0.45。</w:t>
      </w:r>
    </w:p>
    <w:p w14:paraId="02C2DA9E" w14:textId="0849932D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教训：~0.01 量级结论必须配对多 seed，并先用 dropout 0.3 降方差。</w:t>
      </w:r>
    </w:p>
    <w:p w14:paraId="5741FD4E" w14:textId="77777777" w:rsidR="0067128A" w:rsidRDefault="0067128A">
      <w:pPr>
        <w:rPr>
          <w:rFonts w:ascii="宋体" w:eastAsia="宋体" w:hAnsi="宋体"/>
          <w:sz w:val="22"/>
        </w:rPr>
      </w:pPr>
    </w:p>
    <w:p w14:paraId="15A8E442" w14:textId="0B497A37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4. 参考论文</w:t>
      </w:r>
    </w:p>
    <w:p w14:paraId="328A0B6A" w14:textId="74E4ACCF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时序/基准：TGN arXiv:2006.10637；TGB arXiv:2307.01026。</w:t>
      </w:r>
    </w:p>
    <w:p w14:paraId="6EC71BF6" w14:textId="6788A500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图→MLP 蒸馏：GLNN 2110.08727；LLP 2210.05801；P&amp;D 2311.11759；PGKD 2303.13763；InfGraND 2601.08033；L-STEP 2506.08309。</w:t>
      </w:r>
    </w:p>
    <w:p w14:paraId="20B7CE4B" w14:textId="4671D9C1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最优传输：FGW 1805.09114；FGW 理论 1811.02834；GW（Peyré 等, ICML 2016）；Sinkhorn（Cuturi, NIPS 2013）；非平衡 OT 1607.05816。</w:t>
      </w:r>
    </w:p>
    <w:p w14:paraId="71EC2086" w14:textId="0AA8A3BA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蒸馏/基础：KD 1503.02531；FitNet 1412.6550；SGC 1902.07153。</w:t>
      </w:r>
    </w:p>
    <w:p w14:paraId="7B7C7318" w14:textId="77777777" w:rsidR="0067128A" w:rsidRDefault="0067128A">
      <w:pPr>
        <w:rPr>
          <w:rFonts w:ascii="宋体" w:eastAsia="宋体" w:hAnsi="宋体"/>
          <w:sz w:val="22"/>
        </w:rPr>
      </w:pPr>
    </w:p>
    <w:p w14:paraId="0ACEF91E" w14:textId="4137AFC4" w:rsidR="0067128A" w:rsidRDefault="0067128A">
      <w:pPr>
        <w:rPr>
          <w:rFonts w:ascii="宋体" w:eastAsia="宋体" w:hAnsi="宋体"/>
          <w:b/>
          <w:sz w:val="27"/>
        </w:rPr>
      </w:pPr>
      <w:r>
        <w:rPr>
          <w:rFonts w:ascii="宋体" w:eastAsia="宋体" w:hAnsi="宋体"/>
          <w:b/>
          <w:sz w:val="27"/>
        </w:rPr>
        <w:t>5. 可复现实验清单</w:t>
      </w:r>
    </w:p>
    <w:p w14:paraId="20872B01" w14:textId="4579CD66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关键默认：--dataset tgbl-wiki --teacher-checkpoint checkpoints/wiki-tgn/teacher.pt --method anchor_ot --student-arch mlp --structure-feature-set nbr2 --dropout 0.3 --student-epochs 20 --patience 5 --ot-fast --logit-weight 0.5 --rank-weight 0.5 --relation-weight 1.0 --diversity-weight 0.01 --anchor-weight 0.0；配对 --student-seed 42/43/44；正式报告用全量 val（去掉 --eval-max-events）。</w:t>
      </w:r>
    </w:p>
    <w:p w14:paraId="103751CB" w14:textId="354999B6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GNN 显著配方：--student-arch gnn --student-neighbors 8 --dropout 0.3 --relation-weight 0.5 --diversity-weight 0.01 --logit-weight 0.5 --rank-weight 0.5 --fused-alpha 0.20 --ot-fast（或 --relation-weight 1.0 --fused-alpha 0.5）。</w:t>
      </w:r>
    </w:p>
    <w:p w14:paraId="3E232EF3" w14:textId="66CCE536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脚本：train-tgn.sh、train-mlp-struct.sh、train-mlp-kd.sh、run-ablation-mlp.sh、run-ot-abl.sh、run-hop.sh、run-kd-abl.sh、run-final.sh、run-stable.sh、run-d03.sh、run-basicd03.sh、run-gnn.sh、run-gnntune.sh、run-gnnconf.sh、run-gnn6.sh、run-embed.sh。</w:t>
      </w:r>
    </w:p>
    <w:p w14:paraId="6511ACEE" w14:textId="7224259D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结果：服务器 experiments/&lt;批次&gt;/&lt;配置&gt;.log；汇总见 RESULTS.md（表 1–19）。</w:t>
      </w:r>
    </w:p>
    <w:p w14:paraId="47BE9FE2" w14:textId="77086A27" w:rsidR="0067128A" w:rsidRDefault="0067128A">
      <w:pPr>
        <w:rPr>
          <w:rFonts w:ascii="宋体" w:eastAsia="宋体" w:hAnsi="宋体"/>
          <w:sz w:val="22"/>
        </w:rPr>
      </w:pPr>
      <w:r>
        <w:rPr>
          <w:rFonts w:ascii="宋体" w:eastAsia="宋体" w:hAnsi="宋体"/>
          <w:sz w:val="22"/>
        </w:rPr>
        <w:t>• 工程要点（已落地）：批量官方评测（等价、约 2× 提速）；--ot-fast；--ema-decay；年龄逐样本归一化修复；教师固定带关系头；nbr 特征广播修复。</w:t>
      </w:r>
    </w:p>
    <w:p w14:paraId="7F7359BC" w14:textId="77777777" w:rsidR="0067128A" w:rsidRPr="0067128A" w:rsidRDefault="0067128A">
      <w:pPr>
        <w:rPr>
          <w:rFonts w:ascii="宋体" w:eastAsia="宋体" w:hAnsi="宋体"/>
          <w:sz w:val="22"/>
        </w:rPr>
      </w:pPr>
    </w:p>
    <w:sectPr w:rsidR="0067128A" w:rsidRPr="0067128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28A"/>
    <w:rsid w:val="0067128A"/>
    <w:rsid w:val="00862904"/>
    <w:rsid w:val="00AB7BD5"/>
    <w:rsid w:val="00E46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45943"/>
  <w15:chartTrackingRefBased/>
  <w15:docId w15:val="{F1653BC4-E2FA-433A-BA9D-4252B11B0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7128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28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28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28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28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28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28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28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7128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712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712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7128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7128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7128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7128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7128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7128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7128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71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128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7128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712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7128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7128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7128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71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7128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712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605</Words>
  <Characters>3450</Characters>
  <Application>Microsoft Office Word</Application>
  <DocSecurity>0</DocSecurity>
  <Lines>28</Lines>
  <Paragraphs>8</Paragraphs>
  <ScaleCrop>false</ScaleCrop>
  <Company/>
  <LinksUpToDate>false</LinksUpToDate>
  <CharactersWithSpaces>4047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家宏 刘</dc:creator>
  <cp:keywords/>
  <dc:description/>
  <cp:lastModifiedBy>家宏 刘</cp:lastModifiedBy>
  <cp:revision>1</cp:revision>
  <dcterms:created xsi:type="dcterms:W3CDTF">2026-10-19T05:39:00Z</dcterms:created>
  <dcterms:modified xsi:type="dcterms:W3CDTF">2026-10-19T05:39:00Z</dcterms:modified>
</cp:coreProperties>
</file>