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571C4" w14:textId="75DF6C05" w:rsidR="00E46A69" w:rsidRDefault="00F870F4">
      <w:pPr>
        <w:rPr>
          <w:rFonts w:ascii="宋体" w:eastAsia="宋体" w:hAnsi="宋体"/>
          <w:b/>
          <w:sz w:val="34"/>
        </w:rPr>
      </w:pPr>
      <w:r>
        <w:rPr>
          <w:rFonts w:ascii="宋体" w:eastAsia="宋体" w:hAnsi="宋体"/>
          <w:b/>
          <w:sz w:val="34"/>
        </w:rPr>
        <w:t>CUTFGWD 工作总结报告</w:t>
      </w:r>
    </w:p>
    <w:p w14:paraId="0DD6706E" w14:textId="76A3E4C1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时序图知识蒸馏：动机、方法、实验与可复现清单</w:t>
      </w:r>
    </w:p>
    <w:p w14:paraId="728C0A1F" w14:textId="77777777" w:rsidR="00F870F4" w:rsidRDefault="00F870F4">
      <w:pPr>
        <w:rPr>
          <w:rFonts w:ascii="宋体" w:eastAsia="宋体" w:hAnsi="宋体"/>
          <w:sz w:val="22"/>
        </w:rPr>
      </w:pPr>
    </w:p>
    <w:p w14:paraId="55E5EE39" w14:textId="70F0EE40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0. 背景与工作范围</w:t>
      </w:r>
    </w:p>
    <w:p w14:paraId="6ACC1667" w14:textId="32844EAD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本文档总结 CUTFGWD（时序图知识蒸馏）方法从代码审查、工程实现到系统实验的全过程，覆盖 17 张实验表。结论以「配对多 seed + 全量官方 val」为口径：先解决评测方差，再判断方法效应。</w:t>
      </w:r>
    </w:p>
    <w:p w14:paraId="41CAEC9D" w14:textId="77777777" w:rsidR="00F870F4" w:rsidRDefault="00F870F4">
      <w:pPr>
        <w:rPr>
          <w:rFonts w:ascii="宋体" w:eastAsia="宋体" w:hAnsi="宋体"/>
          <w:sz w:val="22"/>
        </w:rPr>
      </w:pPr>
    </w:p>
    <w:p w14:paraId="6709F384" w14:textId="03CFF396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1. 动机</w:t>
      </w:r>
    </w:p>
    <w:p w14:paraId="0100C385" w14:textId="15597CC4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TGN 教师精度高，但推理依赖 memory、时间注意力与邻居采样，延迟/内存大、难部署；MLP 无图依赖、推理快，但缺结构与时序信息、精度低。故用知识蒸馏把教师知识转给轻量学生，兼顾精度与可部署性。</w:t>
      </w:r>
    </w:p>
    <w:p w14:paraId="124B3AF8" w14:textId="6B220675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部署目标：希望学生具备「图无关」（推理不需要访问图/邻居）与「低延迟」特性，从而适配延迟敏感场景。</w:t>
      </w:r>
    </w:p>
    <w:p w14:paraId="324DCE25" w14:textId="6DEA1F54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为何用最优传输（OT）：教师关系信息是「变长历史 token 轨迹」，学生是「固定关系槽」，二者不等长、无配对，逐元素 MSE/余弦无法对齐；Gromov-Wasserstein 类 OT 可同时对齐特征与关系结构，故提出 CUT-FGW（非平衡时序 Fused GW）。</w:t>
      </w:r>
    </w:p>
    <w:p w14:paraId="06A0F744" w14:textId="683AA83E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核心问题：OT 是否为有效的蒸馏目标？对「图无关 MLP」还是「结构化学生」更有效？</w:t>
      </w:r>
    </w:p>
    <w:p w14:paraId="3BFA8AC3" w14:textId="77777777" w:rsidR="00F870F4" w:rsidRDefault="00F870F4">
      <w:pPr>
        <w:rPr>
          <w:rFonts w:ascii="宋体" w:eastAsia="宋体" w:hAnsi="宋体"/>
          <w:sz w:val="22"/>
        </w:rPr>
      </w:pPr>
    </w:p>
    <w:p w14:paraId="3D0190E7" w14:textId="0020BA46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2. 方法</w:t>
      </w:r>
    </w:p>
    <w:p w14:paraId="6D4729E0" w14:textId="5E1E5C44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2.1 教师与学生</w:t>
      </w:r>
    </w:p>
    <w:p w14:paraId="51F241D7" w14:textId="55D4B10B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教师 PyGTGNTeacher：TGNMemory + TransformerConv 时间图注意力 + LinkPredictor + relation_projector（另有固定 relation_align_head，仅作自监督对齐、不进入打分路径）。</w:t>
      </w:r>
    </w:p>
    <w:p w14:paraId="0F3C27D3" w14:textId="11D07C02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学生：LightSTMLPStudent（图无关，仅读节点特征/ID/时间，含固定关系槽）；LightGNNStudent（1 层邻居 mean-pooling，作消融/上界）。</w:t>
      </w:r>
    </w:p>
    <w:p w14:paraId="4966F46C" w14:textId="0DBBC235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2.2 图无关输入特征（仅用训练集统计，推理期静态，无泄漏）</w:t>
      </w:r>
    </w:p>
    <w:p w14:paraId="26B41CF6" w14:textId="66C7CE39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basic(5)：出度/入度/活跃度/首末出现位置；rich(12)：再加唯一邻居、二跳、互惠、PageRank、近期活跃度、位置 std；nbr/nbr2/nbr3：basic + 1/2/3 跳邻居特征均值（SGC/GLNN 式预计算聚合）。</w:t>
      </w:r>
    </w:p>
    <w:p w14:paraId="0C0B411B" w14:textId="26CD5ADD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2.3 蒸馏目标（loss/distillation.py）</w:t>
      </w:r>
    </w:p>
    <w:p w14:paraId="02710B46" w14:textId="45CA1D2C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L = w_task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CE + w_logit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KL + w_rank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W1 + w_anchor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anchor + w_relation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OT + w_div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div + w_embed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embed</w:t>
      </w:r>
    </w:p>
    <w:p w14:paraId="7C47205D" w14:textId="4FB190E3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各信号含义：logit=候选预测分布（KL）；rank=候选排序结构（Wasserstein-1）；anchor=按年龄锚定的关系表示对齐；relation=关系轨迹的结构最优传输（CUT-FGW）；diversity=关系槽多样性正则；embed=学生投影表示与教师上下文嵌入的特征级对齐。</w:t>
      </w:r>
    </w:p>
    <w:p w14:paraId="099F3A15" w14:textId="3C83DFDE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CUT-FGW：代价 = fused_alpha·属性代价(年龄) + (1-fused_alpha)·结构代价；结构代价 = memory_weight·(token 两两关系矩阵) + dynamics_weight·(相邻 token 差分)。用非平衡 Sinkhorn 在 FGW 近端迭代中更新传输 plan，以适配不等长集合。</w:t>
      </w:r>
    </w:p>
    <w:p w14:paraId="10DE087A" w14:textId="30F7ECB7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关键修正：anchor 年龄需逐样本重标定到 [0,1]，否则所有学生槽会塌缩到同一教师 token（匹配退化为常数）。</w:t>
      </w:r>
    </w:p>
    <w:p w14:paraId="7F933D08" w14:textId="4E9956B7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2.4 评测与降方差</w:t>
      </w:r>
    </w:p>
    <w:p w14:paraId="0657A29B" w14:textId="6B05C396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官方 TGB MRR（时间划分与负采样协议不变）；官方评测由「逐事件」改为「每批 16 事件」前向（已验证与逐事件数值一致，约 2× 提速）；--dropout 0.3 用于降方差。</w:t>
      </w:r>
    </w:p>
    <w:p w14:paraId="7E6DA4F6" w14:textId="77777777" w:rsidR="00F870F4" w:rsidRDefault="00F870F4">
      <w:pPr>
        <w:rPr>
          <w:rFonts w:ascii="宋体" w:eastAsia="宋体" w:hAnsi="宋体"/>
          <w:sz w:val="22"/>
        </w:rPr>
      </w:pPr>
    </w:p>
    <w:p w14:paraId="726C000F" w14:textId="344B4379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3. 实验</w:t>
      </w:r>
    </w:p>
    <w:p w14:paraId="2B8DAA29" w14:textId="74C5BFFB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设置：tgbl-wiki；教师 test MRR=0.6806（冻结）；学生 20 epochs；指标 = 官方 test MRR。</w:t>
      </w:r>
    </w:p>
    <w:p w14:paraId="2DE78994" w14:textId="2695BD3F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3.1 方差（关键前提）</w:t>
      </w:r>
    </w:p>
    <w:p w14:paraId="19C2D5FD" w14:textId="6298190F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dropout 0.1 : mean 0.4279, std 0.0248    |    dropout 0.3 : mean 0.4423, std 0.0014</w:t>
      </w:r>
    </w:p>
    <w:p w14:paraId="0AC2A0AF" w14:textId="679B13B8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dropout 0.3 同时提升均值并把方差降约 18 倍；此前一切「看似有效」的结论多为 seed 噪声。</w:t>
      </w:r>
    </w:p>
    <w:p w14:paraId="7D6E15C2" w14:textId="0345B183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失败尝试：dropout=0 崩到 0.34–0.38；EMA 无改善；低 LR/强 weight-decay 更差。</w:t>
      </w:r>
    </w:p>
    <w:p w14:paraId="5413D768" w14:textId="183B82E8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3.2 有功效协议下的对比（dropout 0.3，3 seed，全量 val）</w:t>
      </w:r>
    </w:p>
    <w:p w14:paraId="7B382BF9" w14:textId="34FBE3D2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对比</w:t>
      </w:r>
      <w:r>
        <w:rPr>
          <w:rFonts w:ascii="Consolas" w:eastAsia="宋体" w:hAnsi="Consolas" w:hint="eastAsia"/>
          <w:sz w:val="18"/>
        </w:rPr>
        <w:t xml:space="preserve">                        | </w:t>
      </w:r>
      <w:r>
        <w:rPr>
          <w:rFonts w:ascii="Consolas" w:eastAsia="宋体" w:hAnsi="Consolas" w:hint="eastAsia"/>
          <w:sz w:val="18"/>
        </w:rPr>
        <w:t>效应</w:t>
      </w:r>
      <w:r>
        <w:rPr>
          <w:rFonts w:ascii="Consolas" w:eastAsia="宋体" w:hAnsi="Consolas" w:hint="eastAsia"/>
          <w:sz w:val="18"/>
        </w:rPr>
        <w:t xml:space="preserve">    | </w:t>
      </w:r>
      <w:r>
        <w:rPr>
          <w:rFonts w:ascii="Consolas" w:eastAsia="宋体" w:hAnsi="Consolas" w:hint="eastAsia"/>
          <w:sz w:val="18"/>
        </w:rPr>
        <w:t>判定</w:t>
      </w:r>
    </w:p>
    <w:p w14:paraId="7C3802B5" w14:textId="0BCCDBC2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结构</w:t>
      </w:r>
      <w:r>
        <w:rPr>
          <w:rFonts w:ascii="Consolas" w:eastAsia="宋体" w:hAnsi="Consolas" w:hint="eastAsia"/>
          <w:sz w:val="18"/>
        </w:rPr>
        <w:t xml:space="preserve"> GNN vs MLP (sup)       | +0.027  | </w:t>
      </w:r>
      <w:r>
        <w:rPr>
          <w:rFonts w:ascii="Consolas" w:eastAsia="宋体" w:hAnsi="Consolas" w:hint="eastAsia"/>
          <w:sz w:val="18"/>
        </w:rPr>
        <w:t>大且稳定</w:t>
      </w:r>
    </w:p>
    <w:p w14:paraId="13FD5C7D" w14:textId="79D1D424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 </w:t>
      </w:r>
      <w:r>
        <w:rPr>
          <w:rFonts w:ascii="Consolas" w:eastAsia="宋体" w:hAnsi="Consolas" w:hint="eastAsia"/>
          <w:sz w:val="18"/>
        </w:rPr>
        <w:t>特征</w:t>
      </w:r>
      <w:r>
        <w:rPr>
          <w:rFonts w:ascii="Consolas" w:eastAsia="宋体" w:hAnsi="Consolas" w:hint="eastAsia"/>
          <w:sz w:val="18"/>
        </w:rPr>
        <w:t xml:space="preserve"> nbr2 vs basic      | -0.003  | </w:t>
      </w:r>
      <w:r>
        <w:rPr>
          <w:rFonts w:ascii="Consolas" w:eastAsia="宋体" w:hAnsi="Consolas" w:hint="eastAsia"/>
          <w:sz w:val="18"/>
        </w:rPr>
        <w:t>无差异</w:t>
      </w:r>
    </w:p>
    <w:p w14:paraId="63CEC5F1" w14:textId="0E8CA7CA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MLP(nbr2)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vs sup       | +0.002  | </w:t>
      </w:r>
      <w:r>
        <w:rPr>
          <w:rFonts w:ascii="Consolas" w:eastAsia="宋体" w:hAnsi="Consolas" w:hint="eastAsia"/>
          <w:sz w:val="18"/>
        </w:rPr>
        <w:t>不显著</w:t>
      </w:r>
    </w:p>
    <w:p w14:paraId="3A2B3FE0" w14:textId="283E46F3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MLP(basic)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vs sup      | -0.009  | </w:t>
      </w:r>
      <w:r>
        <w:rPr>
          <w:rFonts w:ascii="Consolas" w:eastAsia="宋体" w:hAnsi="Consolas" w:hint="eastAsia"/>
          <w:sz w:val="18"/>
        </w:rPr>
        <w:t>显著为负</w:t>
      </w:r>
    </w:p>
    <w:p w14:paraId="13D971AB" w14:textId="17EA5702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rel=1.0 vs sup     | +0.006  | </w:t>
      </w:r>
      <w:r>
        <w:rPr>
          <w:rFonts w:ascii="Consolas" w:eastAsia="宋体" w:hAnsi="Consolas" w:hint="eastAsia"/>
          <w:sz w:val="18"/>
        </w:rPr>
        <w:t>不显著</w:t>
      </w:r>
    </w:p>
    <w:p w14:paraId="121D6800" w14:textId="0D2B8CA3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OT rel=0.5 vs sup      | +0.025  | </w:t>
      </w:r>
      <w:r>
        <w:rPr>
          <w:rFonts w:ascii="Consolas" w:eastAsia="宋体" w:hAnsi="Consolas" w:hint="eastAsia"/>
          <w:sz w:val="18"/>
        </w:rPr>
        <w:t>显著</w:t>
      </w:r>
      <w:r>
        <w:rPr>
          <w:rFonts w:ascii="Consolas" w:eastAsia="宋体" w:hAnsi="Consolas" w:hint="eastAsia"/>
          <w:sz w:val="18"/>
        </w:rPr>
        <w:t xml:space="preserve"> (t</w:t>
      </w:r>
      <w:r>
        <w:rPr>
          <w:rFonts w:ascii="Consolas" w:eastAsia="宋体" w:hAnsi="Consolas" w:hint="eastAsia"/>
          <w:sz w:val="18"/>
        </w:rPr>
        <w:t>≈</w:t>
      </w:r>
      <w:r>
        <w:rPr>
          <w:rFonts w:ascii="Consolas" w:eastAsia="宋体" w:hAnsi="Consolas" w:hint="eastAsia"/>
          <w:sz w:val="18"/>
        </w:rPr>
        <w:t>5.0)</w:t>
      </w:r>
    </w:p>
    <w:p w14:paraId="6E244A9F" w14:textId="014FB36C" w:rsidR="00F870F4" w:rsidRDefault="00F870F4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OT fa=0.5 vs sup       | +0.022  | </w:t>
      </w:r>
      <w:r>
        <w:rPr>
          <w:rFonts w:ascii="Consolas" w:eastAsia="宋体" w:hAnsi="Consolas" w:hint="eastAsia"/>
          <w:sz w:val="18"/>
        </w:rPr>
        <w:t>显著</w:t>
      </w:r>
      <w:r>
        <w:rPr>
          <w:rFonts w:ascii="Consolas" w:eastAsia="宋体" w:hAnsi="Consolas" w:hint="eastAsia"/>
          <w:sz w:val="18"/>
        </w:rPr>
        <w:t xml:space="preserve"> (t</w:t>
      </w:r>
      <w:r>
        <w:rPr>
          <w:rFonts w:ascii="Consolas" w:eastAsia="宋体" w:hAnsi="Consolas" w:hint="eastAsia"/>
          <w:sz w:val="18"/>
        </w:rPr>
        <w:t>≈</w:t>
      </w:r>
      <w:r>
        <w:rPr>
          <w:rFonts w:ascii="Consolas" w:eastAsia="宋体" w:hAnsi="Consolas" w:hint="eastAsia"/>
          <w:sz w:val="18"/>
        </w:rPr>
        <w:t>5.8)</w:t>
      </w:r>
    </w:p>
    <w:p w14:paraId="27B39666" w14:textId="2F9D8FE3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3.3 其他发现</w:t>
      </w:r>
    </w:p>
    <w:p w14:paraId="53CC0C7E" w14:textId="56082A0B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--ot-fast（fgw 4→2、sinkhorn 20→8）约 4× 提速，精度基本持平；OT 计算约占额外 73 ms/batch。</w:t>
      </w:r>
    </w:p>
    <w:p w14:paraId="026AC140" w14:textId="54846B8C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anchor 对 MLP 有害；嵌入级蒸馏直接对齐共享表示会崩溃（0.128），改为独立投影头 + 小权重后修复、但无增益（0.4410）。</w:t>
      </w:r>
    </w:p>
    <w:p w14:paraId="702B7F56" w14:textId="4FC104F2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多跳邻居聚合：nbr2（2 跳）在单 seed 下看似最优（0.4538），但有功效协议下与 basic 无显著差异。</w:t>
      </w:r>
    </w:p>
    <w:p w14:paraId="61B56070" w14:textId="064191AA" w:rsidR="00F870F4" w:rsidRDefault="00F870F4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3.4 结论</w:t>
      </w:r>
    </w:p>
    <w:p w14:paraId="25EA41C9" w14:textId="26EA8933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结构是稳健的大效应：1 层 GNN 学生比图无关 MLP 高约 +0.027。</w:t>
      </w:r>
    </w:p>
    <w:p w14:paraId="634FBB16" w14:textId="04C916A2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OT（CUT-FGW）在结构化 GNN 学生上显著有效：relation_weight=0.5 或 fused_alpha=0.5 → 相对监督 +0.022~0.025（t≈5~5.8）；此前 +0.006 不显著是因 OT 权重过大（rel=1.0）。</w:t>
      </w:r>
    </w:p>
    <w:p w14:paraId="169C167E" w14:textId="7D1790A0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图无关 MLP 上 OT/邻域特征无可靠增益（弱特征时蒸馏甚至显著为负）；MLP 天花板约 0.44–0.45。</w:t>
      </w:r>
    </w:p>
    <w:p w14:paraId="7E2CF006" w14:textId="1D0104A0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教训：~0.01 量级结论必须配对多 seed，并先用 dropout 0.3 降方差。</w:t>
      </w:r>
    </w:p>
    <w:p w14:paraId="6F293179" w14:textId="77777777" w:rsidR="00F870F4" w:rsidRDefault="00F870F4">
      <w:pPr>
        <w:rPr>
          <w:rFonts w:ascii="宋体" w:eastAsia="宋体" w:hAnsi="宋体"/>
          <w:sz w:val="22"/>
        </w:rPr>
      </w:pPr>
    </w:p>
    <w:p w14:paraId="4F2A40BC" w14:textId="23024384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4. 参考论文</w:t>
      </w:r>
    </w:p>
    <w:p w14:paraId="6FE1FB2E" w14:textId="4B6DFB30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时序/基准：TGN arXiv:2006.10637；TGB arXiv:2307.01026。</w:t>
      </w:r>
    </w:p>
    <w:p w14:paraId="1ACA518E" w14:textId="5EA77626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图→MLP 蒸馏：GLNN 2110.08727；LLP 2210.05801；P&amp;D 2311.11759；PGKD 2303.13763；InfGraND 2601.08033；L-STEP 2506.08309。</w:t>
      </w:r>
    </w:p>
    <w:p w14:paraId="2EBED4E2" w14:textId="69F9AA08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最优传输：FGW 1805.09114；FGW 理论 1811.02834；GW（Peyré 等, ICML 2016）；Sinkhorn（Cuturi, NIPS 2013）；非平衡 OT 1607.05816。</w:t>
      </w:r>
    </w:p>
    <w:p w14:paraId="64BC2E3A" w14:textId="22464ED9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蒸馏/基础：KD 1503.02531；FitNet 1412.6550；SGC 1902.07153。</w:t>
      </w:r>
    </w:p>
    <w:p w14:paraId="36E9787B" w14:textId="77777777" w:rsidR="00F870F4" w:rsidRDefault="00F870F4">
      <w:pPr>
        <w:rPr>
          <w:rFonts w:ascii="宋体" w:eastAsia="宋体" w:hAnsi="宋体"/>
          <w:sz w:val="22"/>
        </w:rPr>
      </w:pPr>
    </w:p>
    <w:p w14:paraId="1A4C666D" w14:textId="00022F34" w:rsidR="00F870F4" w:rsidRDefault="00F870F4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5. 可复现实验清单</w:t>
      </w:r>
    </w:p>
    <w:p w14:paraId="2D3FE297" w14:textId="0594771B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关键默认：--dataset tgbl-wiki --teacher-checkpoint checkpoints/wiki-tgn/teacher.pt --method anchor_ot --student-arch mlp --structure-feature-set nbr2 --dropout 0.3 --student-epochs 20 --patience 5 --ot-fast --logit-weight 0.5 --rank-weight 0.5 --relation-weight 1.0 --diversity-weight 0.01 --anchor-weight 0.0；配对 --student-seed 42/43/44；正式报告用全量 val（去掉 --eval-max-events）。</w:t>
      </w:r>
    </w:p>
    <w:p w14:paraId="31E56059" w14:textId="47AE1378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GNN 显著配方：--student-arch gnn --student-neighbors 8 --dropout 0.3 --relation-weight 0.5 --diversity-weight 0.01 --logit-weight 0.5 --rank-weight 0.5 --fused-alpha 0.20 --ot-fast（或 --relation-weight 1.0 --fused-alpha 0.5）。</w:t>
      </w:r>
    </w:p>
    <w:p w14:paraId="005DEE9D" w14:textId="2E97B575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脚本：train-tgn.sh、train-mlp-struct.sh、train-mlp-kd.sh、run-ablation-mlp.sh、run-ot-abl.sh、run-hop.sh、run-kd-abl.sh、run-final.sh、run-stable.sh、run-d03.sh、run-basicd03.sh、run-gnn.sh、run-gnntune.sh、run-gnnconf.sh、run-embed.sh。</w:t>
      </w:r>
    </w:p>
    <w:p w14:paraId="172335E7" w14:textId="3CD79AB6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结果：服务器 experiments/&lt;批次&gt;/&lt;配置&gt;.log；汇总见 RESULTS.md（表 1–17）。</w:t>
      </w:r>
    </w:p>
    <w:p w14:paraId="450DF90A" w14:textId="4417C614" w:rsidR="00F870F4" w:rsidRDefault="00F870F4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工程要点（已落地）：批量官方评测（等价、约 2× 提速）；--ot-fast；--ema-decay；年龄逐样本归一化修复；教师固定带关系头；nbr 特征广播修复。</w:t>
      </w:r>
    </w:p>
    <w:p w14:paraId="0A6DAB21" w14:textId="77777777" w:rsidR="00F870F4" w:rsidRPr="00F870F4" w:rsidRDefault="00F870F4">
      <w:pPr>
        <w:rPr>
          <w:rFonts w:ascii="宋体" w:eastAsia="宋体" w:hAnsi="宋体"/>
          <w:sz w:val="22"/>
        </w:rPr>
      </w:pPr>
    </w:p>
    <w:sectPr w:rsidR="00F870F4" w:rsidRPr="00F870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0F4"/>
    <w:rsid w:val="006F4E80"/>
    <w:rsid w:val="00862904"/>
    <w:rsid w:val="00E46A69"/>
    <w:rsid w:val="00F8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A33C5"/>
  <w15:chartTrackingRefBased/>
  <w15:docId w15:val="{0E99A1DB-3424-4579-AC22-ADA3213BE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70F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7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70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70F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70F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70F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70F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70F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70F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70F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70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70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0F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70F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70F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70F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70F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70F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70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7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70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70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70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70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70F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70F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70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70F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70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598</Words>
  <Characters>3412</Characters>
  <Application>Microsoft Office Word</Application>
  <DocSecurity>0</DocSecurity>
  <Lines>28</Lines>
  <Paragraphs>8</Paragraphs>
  <ScaleCrop>false</ScaleCrop>
  <Company/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家宏 刘</dc:creator>
  <cp:keywords/>
  <dc:description/>
  <cp:lastModifiedBy>家宏 刘</cp:lastModifiedBy>
  <cp:revision>1</cp:revision>
  <dcterms:created xsi:type="dcterms:W3CDTF">2026-10-17T11:42:00Z</dcterms:created>
  <dcterms:modified xsi:type="dcterms:W3CDTF">2026-10-17T11:42:00Z</dcterms:modified>
</cp:coreProperties>
</file>