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2BEE" w14:textId="562E25DE" w:rsidR="00E46A69" w:rsidRDefault="005D7050">
      <w:pPr>
        <w:rPr>
          <w:rFonts w:ascii="宋体" w:eastAsia="宋体" w:hAnsi="宋体"/>
          <w:b/>
          <w:sz w:val="36"/>
        </w:rPr>
      </w:pPr>
      <w:r>
        <w:rPr>
          <w:rFonts w:ascii="宋体" w:eastAsia="宋体" w:hAnsi="宋体"/>
          <w:b/>
          <w:sz w:val="36"/>
        </w:rPr>
        <w:t>CUTFGWD 工作总结报告</w:t>
      </w:r>
    </w:p>
    <w:p w14:paraId="2D4D38A4" w14:textId="0682A7AD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时序图知识蒸馏：动机、方法、实验与可复现清单</w:t>
      </w:r>
    </w:p>
    <w:p w14:paraId="5CE4564A" w14:textId="77777777" w:rsidR="005D7050" w:rsidRDefault="005D7050">
      <w:pPr>
        <w:rPr>
          <w:rFonts w:ascii="宋体" w:eastAsia="宋体" w:hAnsi="宋体"/>
          <w:sz w:val="23"/>
        </w:rPr>
      </w:pPr>
    </w:p>
    <w:p w14:paraId="31F78A90" w14:textId="008B8B36" w:rsidR="005D7050" w:rsidRDefault="005D7050">
      <w:pPr>
        <w:rPr>
          <w:rFonts w:ascii="宋体" w:eastAsia="宋体" w:hAnsi="宋体"/>
          <w:b/>
          <w:sz w:val="28"/>
        </w:rPr>
      </w:pPr>
      <w:r>
        <w:rPr>
          <w:rFonts w:ascii="宋体" w:eastAsia="宋体" w:hAnsi="宋体"/>
          <w:b/>
          <w:sz w:val="28"/>
        </w:rPr>
        <w:t>0. 背景与工作范围</w:t>
      </w:r>
    </w:p>
    <w:p w14:paraId="2EC739B7" w14:textId="2BFDE27A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本文档总结 CUTFGWD（时序图知识蒸馏）方法从代码审查、工程实现到系统实验的全过程，覆盖 17 张实验表。结论以「配对多 seed + 全量官方 val」为口径：先解决评测方差，再判断方法效应。</w:t>
      </w:r>
    </w:p>
    <w:p w14:paraId="2BE55AE9" w14:textId="77777777" w:rsidR="005D7050" w:rsidRDefault="005D7050">
      <w:pPr>
        <w:rPr>
          <w:rFonts w:ascii="宋体" w:eastAsia="宋体" w:hAnsi="宋体"/>
          <w:sz w:val="23"/>
        </w:rPr>
      </w:pPr>
    </w:p>
    <w:p w14:paraId="7FBBCB62" w14:textId="627672EC" w:rsidR="005D7050" w:rsidRDefault="005D7050">
      <w:pPr>
        <w:rPr>
          <w:rFonts w:ascii="宋体" w:eastAsia="宋体" w:hAnsi="宋体"/>
          <w:b/>
          <w:sz w:val="28"/>
        </w:rPr>
      </w:pPr>
      <w:r>
        <w:rPr>
          <w:rFonts w:ascii="宋体" w:eastAsia="宋体" w:hAnsi="宋体"/>
          <w:b/>
          <w:sz w:val="28"/>
        </w:rPr>
        <w:t>1. 动机</w:t>
      </w:r>
    </w:p>
    <w:p w14:paraId="77782257" w14:textId="56CA64B5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TGN 教师精度高，但推理依赖 memory、时间注意力与邻居采样，延迟/内存大、难部署；MLP 无图依赖、推理快，但缺结构与时序信息、精度低。故用知识蒸馏把教师知识转给轻量学生，兼顾精度与可部署性。</w:t>
      </w:r>
    </w:p>
    <w:p w14:paraId="142D93F6" w14:textId="339212F8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部署目标：希望学生具备「图无关」（推理不需要访问图/邻居）与「低延迟」特性，从而适配延迟敏感场景。</w:t>
      </w:r>
    </w:p>
    <w:p w14:paraId="292459E4" w14:textId="72993C38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为何用最优传输（OT）：教师关系信息是「变长历史 token 轨迹」，学生是「固定关系槽」，二者不等长、无配对，逐元素 MSE/余弦无法对齐；Gromov-Wasserstein 类 OT 可同时对齐特征与关系结构，故提出 CUT-FGW（非平衡时序 Fused GW）。</w:t>
      </w:r>
    </w:p>
    <w:p w14:paraId="7AEBA42D" w14:textId="3D065433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核心问题：OT 是否为有效的蒸馏目标？对「图无关 MLP」还是「结构化学生」更有效？</w:t>
      </w:r>
    </w:p>
    <w:p w14:paraId="3D00700C" w14:textId="77777777" w:rsidR="005D7050" w:rsidRDefault="005D7050">
      <w:pPr>
        <w:rPr>
          <w:rFonts w:ascii="宋体" w:eastAsia="宋体" w:hAnsi="宋体"/>
          <w:sz w:val="23"/>
        </w:rPr>
      </w:pPr>
    </w:p>
    <w:p w14:paraId="62F34121" w14:textId="291684DA" w:rsidR="005D7050" w:rsidRDefault="005D7050">
      <w:pPr>
        <w:rPr>
          <w:rFonts w:ascii="宋体" w:eastAsia="宋体" w:hAnsi="宋体"/>
          <w:b/>
          <w:sz w:val="28"/>
        </w:rPr>
      </w:pPr>
      <w:r>
        <w:rPr>
          <w:rFonts w:ascii="宋体" w:eastAsia="宋体" w:hAnsi="宋体"/>
          <w:b/>
          <w:sz w:val="28"/>
        </w:rPr>
        <w:t>2. 方法</w:t>
      </w:r>
    </w:p>
    <w:p w14:paraId="18DC1270" w14:textId="4DBC1393" w:rsidR="005D7050" w:rsidRDefault="005D7050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2.1 教师与学生</w:t>
      </w:r>
    </w:p>
    <w:p w14:paraId="35947048" w14:textId="1AA43EB8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教师 PyGTGNTeacher：TGNMemory + TransformerConv 时间图注意力 + LinkPredictor + relation_projector（另有固定 relation_align_head，仅作自监督对齐、不进入打分路径）。</w:t>
      </w:r>
    </w:p>
    <w:p w14:paraId="63014A23" w14:textId="43861DFF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学生：LightSTMLPStudent（图无关，仅读节点特征/ID/时间，含固定关系槽）；LightGNNStudent（1 层邻居 mean-pooling，作消融/上界）。</w:t>
      </w:r>
    </w:p>
    <w:p w14:paraId="3A0CC2A6" w14:textId="16944049" w:rsidR="005D7050" w:rsidRDefault="005D7050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2.2 图无关输入特征（仅用训练集统计，推理期静态，无泄漏）</w:t>
      </w:r>
    </w:p>
    <w:p w14:paraId="63DAD136" w14:textId="5C98E92B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basic(5)：出度/入度/活跃度/首末出现位置；rich(12)：再加唯一邻居、二跳、互惠、PageRank、近期活跃度、位置 std；nbr/nbr2/nbr3：basic + 1/2/3 跳邻居特征均值（SGC/GLNN 式预计算聚合）。</w:t>
      </w:r>
    </w:p>
    <w:p w14:paraId="41B7BE1A" w14:textId="4104C8E2" w:rsidR="005D7050" w:rsidRDefault="005D7050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2.3 蒸馏目标（loss/distillation.py）</w:t>
      </w:r>
    </w:p>
    <w:p w14:paraId="33E532F1" w14:textId="7AE027D5" w:rsidR="005D7050" w:rsidRDefault="005D7050">
      <w:pPr>
        <w:rPr>
          <w:rFonts w:ascii="Consolas" w:eastAsia="宋体" w:hAnsi="Consolas" w:hint="eastAsia"/>
          <w:sz w:val="19"/>
        </w:rPr>
      </w:pPr>
      <w:r>
        <w:rPr>
          <w:rFonts w:ascii="Consolas" w:eastAsia="宋体" w:hAnsi="Consolas" w:hint="eastAsia"/>
          <w:sz w:val="19"/>
        </w:rPr>
        <w:t>L = w_task</w:t>
      </w:r>
      <w:r>
        <w:rPr>
          <w:rFonts w:ascii="Consolas" w:eastAsia="宋体" w:hAnsi="Consolas" w:hint="eastAsia"/>
          <w:sz w:val="19"/>
        </w:rPr>
        <w:t>·</w:t>
      </w:r>
      <w:r>
        <w:rPr>
          <w:rFonts w:ascii="Consolas" w:eastAsia="宋体" w:hAnsi="Consolas" w:hint="eastAsia"/>
          <w:sz w:val="19"/>
        </w:rPr>
        <w:t>CE + w_logit</w:t>
      </w:r>
      <w:r>
        <w:rPr>
          <w:rFonts w:ascii="Consolas" w:eastAsia="宋体" w:hAnsi="Consolas" w:hint="eastAsia"/>
          <w:sz w:val="19"/>
        </w:rPr>
        <w:t>·</w:t>
      </w:r>
      <w:r>
        <w:rPr>
          <w:rFonts w:ascii="Consolas" w:eastAsia="宋体" w:hAnsi="Consolas" w:hint="eastAsia"/>
          <w:sz w:val="19"/>
        </w:rPr>
        <w:t>KL + w_rank</w:t>
      </w:r>
      <w:r>
        <w:rPr>
          <w:rFonts w:ascii="Consolas" w:eastAsia="宋体" w:hAnsi="Consolas" w:hint="eastAsia"/>
          <w:sz w:val="19"/>
        </w:rPr>
        <w:t>·</w:t>
      </w:r>
      <w:r>
        <w:rPr>
          <w:rFonts w:ascii="Consolas" w:eastAsia="宋体" w:hAnsi="Consolas" w:hint="eastAsia"/>
          <w:sz w:val="19"/>
        </w:rPr>
        <w:t>W1 + w_anchor</w:t>
      </w:r>
      <w:r>
        <w:rPr>
          <w:rFonts w:ascii="Consolas" w:eastAsia="宋体" w:hAnsi="Consolas" w:hint="eastAsia"/>
          <w:sz w:val="19"/>
        </w:rPr>
        <w:t>·</w:t>
      </w:r>
      <w:r>
        <w:rPr>
          <w:rFonts w:ascii="Consolas" w:eastAsia="宋体" w:hAnsi="Consolas" w:hint="eastAsia"/>
          <w:sz w:val="19"/>
        </w:rPr>
        <w:t>anchor + w_relation</w:t>
      </w:r>
      <w:r>
        <w:rPr>
          <w:rFonts w:ascii="Consolas" w:eastAsia="宋体" w:hAnsi="Consolas" w:hint="eastAsia"/>
          <w:sz w:val="19"/>
        </w:rPr>
        <w:t>·</w:t>
      </w:r>
      <w:r>
        <w:rPr>
          <w:rFonts w:ascii="Consolas" w:eastAsia="宋体" w:hAnsi="Consolas" w:hint="eastAsia"/>
          <w:sz w:val="19"/>
        </w:rPr>
        <w:t>OT + w_div</w:t>
      </w:r>
      <w:r>
        <w:rPr>
          <w:rFonts w:ascii="Consolas" w:eastAsia="宋体" w:hAnsi="Consolas" w:hint="eastAsia"/>
          <w:sz w:val="19"/>
        </w:rPr>
        <w:t>·</w:t>
      </w:r>
      <w:r>
        <w:rPr>
          <w:rFonts w:ascii="Consolas" w:eastAsia="宋体" w:hAnsi="Consolas" w:hint="eastAsia"/>
          <w:sz w:val="19"/>
        </w:rPr>
        <w:t>div + w_embed</w:t>
      </w:r>
      <w:r>
        <w:rPr>
          <w:rFonts w:ascii="Consolas" w:eastAsia="宋体" w:hAnsi="Consolas" w:hint="eastAsia"/>
          <w:sz w:val="19"/>
        </w:rPr>
        <w:t>·</w:t>
      </w:r>
      <w:r>
        <w:rPr>
          <w:rFonts w:ascii="Consolas" w:eastAsia="宋体" w:hAnsi="Consolas" w:hint="eastAsia"/>
          <w:sz w:val="19"/>
        </w:rPr>
        <w:t>embed</w:t>
      </w:r>
    </w:p>
    <w:p w14:paraId="31B92AFD" w14:textId="27B2F3FE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各信号含义：logit=候选预测分布（KL）；rank=候选排序结构（Wasserstein-1）；anchor=按年龄锚定的关系表示对齐；relation=关系轨迹的结构最优传输（CUT-FGW）；diversity=关系槽多样性正则；embed=学生投影表示与教师上下文嵌入的特征级对齐。</w:t>
      </w:r>
    </w:p>
    <w:p w14:paraId="1FB2C88A" w14:textId="28C4184C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CUT-FGW：代价 = fused_alpha·属性代价(年龄) + (1-fused_alpha)·结构代价；结构代价 = memory_weight·(token 两两关系矩阵) + dynamics_weight·(相邻 token 差分)。用非平衡 Sinkhorn 在 FGW 近端迭代中更新传输 plan，以适配不等长集合。</w:t>
      </w:r>
    </w:p>
    <w:p w14:paraId="382556EE" w14:textId="0B84B365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关键修正：anchor 年龄需逐样本重标定到 [0,1]，否则所有学生槽会塌缩到同一教师 token（匹配退化为常数）。</w:t>
      </w:r>
    </w:p>
    <w:p w14:paraId="243AA417" w14:textId="78B5D6E6" w:rsidR="005D7050" w:rsidRDefault="005D7050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2.4 评测与降方差</w:t>
      </w:r>
    </w:p>
    <w:p w14:paraId="385933D7" w14:textId="51269340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官方 TGB MRR（时间划分与负采样协议不变）；官方评测由「逐事件」改为「每批 16 事件」前向（已验证与逐事件数值一致，约 2× 提速）；--dropout 0.3 用于降方差。</w:t>
      </w:r>
    </w:p>
    <w:p w14:paraId="25B3DD31" w14:textId="77777777" w:rsidR="005D7050" w:rsidRDefault="005D7050">
      <w:pPr>
        <w:rPr>
          <w:rFonts w:ascii="宋体" w:eastAsia="宋体" w:hAnsi="宋体"/>
          <w:sz w:val="23"/>
        </w:rPr>
      </w:pPr>
    </w:p>
    <w:p w14:paraId="37E09A3A" w14:textId="3E896828" w:rsidR="005D7050" w:rsidRDefault="005D7050">
      <w:pPr>
        <w:rPr>
          <w:rFonts w:ascii="宋体" w:eastAsia="宋体" w:hAnsi="宋体"/>
          <w:b/>
          <w:sz w:val="28"/>
        </w:rPr>
      </w:pPr>
      <w:r>
        <w:rPr>
          <w:rFonts w:ascii="宋体" w:eastAsia="宋体" w:hAnsi="宋体"/>
          <w:b/>
          <w:sz w:val="28"/>
        </w:rPr>
        <w:t>3. 实验</w:t>
      </w:r>
    </w:p>
    <w:p w14:paraId="5FCDF845" w14:textId="7BBA56FD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设置：tgbl-wiki；教师 test MRR=0.6806（冻结）；学生 20 epochs；指标 = 官方 test MRR。</w:t>
      </w:r>
    </w:p>
    <w:p w14:paraId="6BB8D69F" w14:textId="2D0E8DFF" w:rsidR="005D7050" w:rsidRDefault="005D7050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3.1 方差（关键前提）</w:t>
      </w:r>
    </w:p>
    <w:p w14:paraId="5DC35658" w14:textId="29D44676" w:rsidR="005D7050" w:rsidRDefault="005D7050">
      <w:pPr>
        <w:rPr>
          <w:rFonts w:ascii="Consolas" w:eastAsia="宋体" w:hAnsi="Consolas" w:hint="eastAsia"/>
          <w:sz w:val="19"/>
        </w:rPr>
      </w:pPr>
      <w:r>
        <w:rPr>
          <w:rFonts w:ascii="Consolas" w:eastAsia="宋体" w:hAnsi="Consolas" w:hint="eastAsia"/>
          <w:sz w:val="19"/>
        </w:rPr>
        <w:t>dropout 0.1 : mean 0.4279, std 0.0248    |    dropout 0.3 : mean 0.4423, std 0.0014</w:t>
      </w:r>
    </w:p>
    <w:p w14:paraId="44024F5F" w14:textId="27ABB6FF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dropout 0.3 同时提升均值并把方差降约 18 倍；此前一切「看似有效」的结论多为 seed 噪声。</w:t>
      </w:r>
    </w:p>
    <w:p w14:paraId="421FBF53" w14:textId="56FBB8AE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失败尝试：dropout=0 崩到 0.34–0.38；EMA 无改善；低 LR/强 weight-decay 更差。</w:t>
      </w:r>
    </w:p>
    <w:p w14:paraId="2C493976" w14:textId="102E3578" w:rsidR="005D7050" w:rsidRDefault="005D7050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3.2 有功效协议下的对比（dropout 0.3，3 seed，全量 val）</w:t>
      </w:r>
    </w:p>
    <w:p w14:paraId="5E7B2103" w14:textId="34AE61D5" w:rsidR="005D7050" w:rsidRDefault="005D7050">
      <w:pPr>
        <w:rPr>
          <w:rFonts w:ascii="Consolas" w:eastAsia="宋体" w:hAnsi="Consolas" w:hint="eastAsia"/>
          <w:sz w:val="19"/>
        </w:rPr>
      </w:pPr>
      <w:r>
        <w:rPr>
          <w:rFonts w:ascii="Consolas" w:eastAsia="宋体" w:hAnsi="Consolas" w:hint="eastAsia"/>
          <w:sz w:val="19"/>
        </w:rPr>
        <w:t>对比</w:t>
      </w:r>
      <w:r>
        <w:rPr>
          <w:rFonts w:ascii="Consolas" w:eastAsia="宋体" w:hAnsi="Consolas" w:hint="eastAsia"/>
          <w:sz w:val="19"/>
        </w:rPr>
        <w:t xml:space="preserve">                        | </w:t>
      </w:r>
      <w:r>
        <w:rPr>
          <w:rFonts w:ascii="Consolas" w:eastAsia="宋体" w:hAnsi="Consolas" w:hint="eastAsia"/>
          <w:sz w:val="19"/>
        </w:rPr>
        <w:t>效应</w:t>
      </w:r>
      <w:r>
        <w:rPr>
          <w:rFonts w:ascii="Consolas" w:eastAsia="宋体" w:hAnsi="Consolas" w:hint="eastAsia"/>
          <w:sz w:val="19"/>
        </w:rPr>
        <w:t xml:space="preserve">    | </w:t>
      </w:r>
      <w:r>
        <w:rPr>
          <w:rFonts w:ascii="Consolas" w:eastAsia="宋体" w:hAnsi="Consolas" w:hint="eastAsia"/>
          <w:sz w:val="19"/>
        </w:rPr>
        <w:t>判定</w:t>
      </w:r>
    </w:p>
    <w:p w14:paraId="179141DE" w14:textId="3A988DEF" w:rsidR="005D7050" w:rsidRDefault="005D7050">
      <w:pPr>
        <w:rPr>
          <w:rFonts w:ascii="Consolas" w:eastAsia="宋体" w:hAnsi="Consolas" w:hint="eastAsia"/>
          <w:sz w:val="19"/>
        </w:rPr>
      </w:pPr>
      <w:r>
        <w:rPr>
          <w:rFonts w:ascii="Consolas" w:eastAsia="宋体" w:hAnsi="Consolas" w:hint="eastAsia"/>
          <w:sz w:val="19"/>
        </w:rPr>
        <w:t>结构</w:t>
      </w:r>
      <w:r>
        <w:rPr>
          <w:rFonts w:ascii="Consolas" w:eastAsia="宋体" w:hAnsi="Consolas" w:hint="eastAsia"/>
          <w:sz w:val="19"/>
        </w:rPr>
        <w:t xml:space="preserve"> GNN vs MLP (sup)       | +0.027  | </w:t>
      </w:r>
      <w:r>
        <w:rPr>
          <w:rFonts w:ascii="Consolas" w:eastAsia="宋体" w:hAnsi="Consolas" w:hint="eastAsia"/>
          <w:sz w:val="19"/>
        </w:rPr>
        <w:t>大且稳定</w:t>
      </w:r>
    </w:p>
    <w:p w14:paraId="06328D80" w14:textId="5C6B11C2" w:rsidR="005D7050" w:rsidRDefault="005D7050">
      <w:pPr>
        <w:rPr>
          <w:rFonts w:ascii="Consolas" w:eastAsia="宋体" w:hAnsi="Consolas" w:hint="eastAsia"/>
          <w:sz w:val="19"/>
        </w:rPr>
      </w:pPr>
      <w:r>
        <w:rPr>
          <w:rFonts w:ascii="Consolas" w:eastAsia="宋体" w:hAnsi="Consolas" w:hint="eastAsia"/>
          <w:sz w:val="19"/>
        </w:rPr>
        <w:t xml:space="preserve">MLP </w:t>
      </w:r>
      <w:r>
        <w:rPr>
          <w:rFonts w:ascii="Consolas" w:eastAsia="宋体" w:hAnsi="Consolas" w:hint="eastAsia"/>
          <w:sz w:val="19"/>
        </w:rPr>
        <w:t>特征</w:t>
      </w:r>
      <w:r>
        <w:rPr>
          <w:rFonts w:ascii="Consolas" w:eastAsia="宋体" w:hAnsi="Consolas" w:hint="eastAsia"/>
          <w:sz w:val="19"/>
        </w:rPr>
        <w:t xml:space="preserve"> nbr2 vs basic      | -0.003  | </w:t>
      </w:r>
      <w:r>
        <w:rPr>
          <w:rFonts w:ascii="Consolas" w:eastAsia="宋体" w:hAnsi="Consolas" w:hint="eastAsia"/>
          <w:sz w:val="19"/>
        </w:rPr>
        <w:t>无差异</w:t>
      </w:r>
    </w:p>
    <w:p w14:paraId="7F886C9C" w14:textId="2FBB898B" w:rsidR="005D7050" w:rsidRDefault="005D7050">
      <w:pPr>
        <w:rPr>
          <w:rFonts w:ascii="Consolas" w:eastAsia="宋体" w:hAnsi="Consolas" w:hint="eastAsia"/>
          <w:sz w:val="19"/>
        </w:rPr>
      </w:pPr>
      <w:r>
        <w:rPr>
          <w:rFonts w:ascii="Consolas" w:eastAsia="宋体" w:hAnsi="Consolas" w:hint="eastAsia"/>
          <w:sz w:val="19"/>
        </w:rPr>
        <w:t xml:space="preserve">MLP(nbr2) </w:t>
      </w:r>
      <w:r>
        <w:rPr>
          <w:rFonts w:ascii="Consolas" w:eastAsia="宋体" w:hAnsi="Consolas" w:hint="eastAsia"/>
          <w:sz w:val="19"/>
        </w:rPr>
        <w:t>蒸馏</w:t>
      </w:r>
      <w:r>
        <w:rPr>
          <w:rFonts w:ascii="Consolas" w:eastAsia="宋体" w:hAnsi="Consolas" w:hint="eastAsia"/>
          <w:sz w:val="19"/>
        </w:rPr>
        <w:t xml:space="preserve"> vs sup       | +0.002  | </w:t>
      </w:r>
      <w:r>
        <w:rPr>
          <w:rFonts w:ascii="Consolas" w:eastAsia="宋体" w:hAnsi="Consolas" w:hint="eastAsia"/>
          <w:sz w:val="19"/>
        </w:rPr>
        <w:t>不显著</w:t>
      </w:r>
    </w:p>
    <w:p w14:paraId="1B2040D5" w14:textId="3F63E18D" w:rsidR="005D7050" w:rsidRDefault="005D7050">
      <w:pPr>
        <w:rPr>
          <w:rFonts w:ascii="Consolas" w:eastAsia="宋体" w:hAnsi="Consolas" w:hint="eastAsia"/>
          <w:sz w:val="19"/>
        </w:rPr>
      </w:pPr>
      <w:r>
        <w:rPr>
          <w:rFonts w:ascii="Consolas" w:eastAsia="宋体" w:hAnsi="Consolas" w:hint="eastAsia"/>
          <w:sz w:val="19"/>
        </w:rPr>
        <w:t xml:space="preserve">MLP(basic) </w:t>
      </w:r>
      <w:r>
        <w:rPr>
          <w:rFonts w:ascii="Consolas" w:eastAsia="宋体" w:hAnsi="Consolas" w:hint="eastAsia"/>
          <w:sz w:val="19"/>
        </w:rPr>
        <w:t>蒸馏</w:t>
      </w:r>
      <w:r>
        <w:rPr>
          <w:rFonts w:ascii="Consolas" w:eastAsia="宋体" w:hAnsi="Consolas" w:hint="eastAsia"/>
          <w:sz w:val="19"/>
        </w:rPr>
        <w:t xml:space="preserve"> vs sup      | -0.009  | </w:t>
      </w:r>
      <w:r>
        <w:rPr>
          <w:rFonts w:ascii="Consolas" w:eastAsia="宋体" w:hAnsi="Consolas" w:hint="eastAsia"/>
          <w:sz w:val="19"/>
        </w:rPr>
        <w:t>显著为负</w:t>
      </w:r>
    </w:p>
    <w:p w14:paraId="651219E3" w14:textId="0277F542" w:rsidR="005D7050" w:rsidRDefault="005D7050">
      <w:pPr>
        <w:rPr>
          <w:rFonts w:ascii="Consolas" w:eastAsia="宋体" w:hAnsi="Consolas" w:hint="eastAsia"/>
          <w:sz w:val="19"/>
        </w:rPr>
      </w:pPr>
      <w:r>
        <w:rPr>
          <w:rFonts w:ascii="Consolas" w:eastAsia="宋体" w:hAnsi="Consolas" w:hint="eastAsia"/>
          <w:sz w:val="19"/>
        </w:rPr>
        <w:t xml:space="preserve">GNN </w:t>
      </w:r>
      <w:r>
        <w:rPr>
          <w:rFonts w:ascii="Consolas" w:eastAsia="宋体" w:hAnsi="Consolas" w:hint="eastAsia"/>
          <w:sz w:val="19"/>
        </w:rPr>
        <w:t>蒸馏</w:t>
      </w:r>
      <w:r>
        <w:rPr>
          <w:rFonts w:ascii="Consolas" w:eastAsia="宋体" w:hAnsi="Consolas" w:hint="eastAsia"/>
          <w:sz w:val="19"/>
        </w:rPr>
        <w:t xml:space="preserve"> vs sup             | +0.006  | </w:t>
      </w:r>
      <w:r>
        <w:rPr>
          <w:rFonts w:ascii="Consolas" w:eastAsia="宋体" w:hAnsi="Consolas" w:hint="eastAsia"/>
          <w:sz w:val="19"/>
        </w:rPr>
        <w:t>不显著</w:t>
      </w:r>
    </w:p>
    <w:p w14:paraId="14FBEC47" w14:textId="1FA42867" w:rsidR="005D7050" w:rsidRDefault="005D7050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3.3 其他发现</w:t>
      </w:r>
    </w:p>
    <w:p w14:paraId="02ED4438" w14:textId="635EDD33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--ot-fast（fgw 4→2、sinkhorn 20→8）约 4× 提速，精度基本持平；OT 计算约占额外 73 ms/batch。</w:t>
      </w:r>
    </w:p>
    <w:p w14:paraId="733AAC64" w14:textId="2CF46E0B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anchor 对 MLP 有害；嵌入级蒸馏直接对齐共享表示会崩溃（0.128），改为独立投影头 + 小权重后修复、但无增益（0.4410）。</w:t>
      </w:r>
    </w:p>
    <w:p w14:paraId="65BC8ED5" w14:textId="0DC063C3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多跳邻居聚合：nbr2（2 跳）在单 seed 下看似最优（0.4538），但有功效协议下与 basic 无显著差异。</w:t>
      </w:r>
    </w:p>
    <w:p w14:paraId="6757AB60" w14:textId="29567AD0" w:rsidR="005D7050" w:rsidRDefault="005D7050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3.4 结论</w:t>
      </w:r>
    </w:p>
    <w:p w14:paraId="5107532F" w14:textId="210F0253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唯一稳健的大效应是「结构」：1 层 GNN 学生比图无关 MLP 高约 +0.027。</w:t>
      </w:r>
    </w:p>
    <w:p w14:paraId="38D1B799" w14:textId="607D2D37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邻域特征对图无关 MLP 无可靠增益；OT 及各蒸馏变体（关系 token、anchor、diversity、嵌入级）均无可靠增益（对弱学生甚至有害）。</w:t>
      </w:r>
    </w:p>
    <w:p w14:paraId="54F4609D" w14:textId="3E2B3E54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图无关 MLP 天花板约 0.44–0.45（GNN 约 0.47，教师 0.68）。教训：~0.01 量级结论必须配对多 seed，并先降方差。</w:t>
      </w:r>
    </w:p>
    <w:p w14:paraId="3675CC78" w14:textId="77777777" w:rsidR="005D7050" w:rsidRDefault="005D7050">
      <w:pPr>
        <w:rPr>
          <w:rFonts w:ascii="宋体" w:eastAsia="宋体" w:hAnsi="宋体"/>
          <w:sz w:val="23"/>
        </w:rPr>
      </w:pPr>
    </w:p>
    <w:p w14:paraId="7361CB06" w14:textId="09B6A190" w:rsidR="005D7050" w:rsidRDefault="005D7050">
      <w:pPr>
        <w:rPr>
          <w:rFonts w:ascii="宋体" w:eastAsia="宋体" w:hAnsi="宋体"/>
          <w:b/>
          <w:sz w:val="28"/>
        </w:rPr>
      </w:pPr>
      <w:r>
        <w:rPr>
          <w:rFonts w:ascii="宋体" w:eastAsia="宋体" w:hAnsi="宋体"/>
          <w:b/>
          <w:sz w:val="28"/>
        </w:rPr>
        <w:t>4. 参考论文</w:t>
      </w:r>
    </w:p>
    <w:p w14:paraId="246CA866" w14:textId="77850C2C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时序/基准：TGN arXiv:2006.10637；TGB arXiv:2307.01026。</w:t>
      </w:r>
    </w:p>
    <w:p w14:paraId="5B23B480" w14:textId="03D086F1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图→MLP 蒸馏：GLNN 2110.08727；LLP 2210.05801；P&amp;D 2311.11759；PGKD 2303.13763；InfGraND 2601.08033；L-STEP 2506.08309。</w:t>
      </w:r>
    </w:p>
    <w:p w14:paraId="2803AF5F" w14:textId="306B8948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最优传输：FGW 1805.09114；FGW 理论 1811.02834；GW（Peyré 等, ICML 2016）；Sinkhorn（Cuturi, NIPS 2013）；非平衡 OT 1607.05816。</w:t>
      </w:r>
    </w:p>
    <w:p w14:paraId="14D0ED56" w14:textId="2E2DC393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蒸馏/基础：KD 1503.02531；FitNet 1412.6550；SGC 1902.07153。</w:t>
      </w:r>
    </w:p>
    <w:p w14:paraId="2B99F95F" w14:textId="77777777" w:rsidR="005D7050" w:rsidRDefault="005D7050">
      <w:pPr>
        <w:rPr>
          <w:rFonts w:ascii="宋体" w:eastAsia="宋体" w:hAnsi="宋体"/>
          <w:sz w:val="23"/>
        </w:rPr>
      </w:pPr>
    </w:p>
    <w:p w14:paraId="24D2BCB4" w14:textId="439E048E" w:rsidR="005D7050" w:rsidRDefault="005D7050">
      <w:pPr>
        <w:rPr>
          <w:rFonts w:ascii="宋体" w:eastAsia="宋体" w:hAnsi="宋体"/>
          <w:b/>
          <w:sz w:val="28"/>
        </w:rPr>
      </w:pPr>
      <w:r>
        <w:rPr>
          <w:rFonts w:ascii="宋体" w:eastAsia="宋体" w:hAnsi="宋体"/>
          <w:b/>
          <w:sz w:val="28"/>
        </w:rPr>
        <w:t>5. 可复现实验清单</w:t>
      </w:r>
    </w:p>
    <w:p w14:paraId="4423601F" w14:textId="48310B81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关键默认：--dataset tgbl-wiki --teacher-checkpoint checkpoints/wiki-tgn/teacher.pt --method anchor_ot --student-arch mlp --structure-feature-set nbr2 --dropout 0.3 --student-epochs 20 --patience 5 --ot-fast --logit-weight 0.5 --rank-weight 0.5 --relation-weight 1.0 --diversity-weight 0.01 --anchor-weight 0.0；配对 --student-seed 42/43/44；正式报告用全量 val（去掉 --eval-max-events）。</w:t>
      </w:r>
    </w:p>
    <w:p w14:paraId="546FCE05" w14:textId="603F799F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脚本：train-tgn.sh、train-mlp-struct.sh、train-mlp-kd.sh、run-ablation-mlp.sh、run-ot-abl.sh、run-hop.sh、run-kd-abl.sh、run-final.sh、run-stable.sh、run-d03.sh、run-basicd03.sh、run-gnn.sh、run-embed.sh。</w:t>
      </w:r>
    </w:p>
    <w:p w14:paraId="1DFF433E" w14:textId="64C354FF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结果：服务器 experiments/&lt;批次&gt;/&lt;配置&gt;.log；汇总见 RESULTS.md（表 1–17）。</w:t>
      </w:r>
    </w:p>
    <w:p w14:paraId="13F349E0" w14:textId="7765E499" w:rsidR="005D7050" w:rsidRDefault="005D7050">
      <w:pPr>
        <w:rPr>
          <w:rFonts w:ascii="宋体" w:eastAsia="宋体" w:hAnsi="宋体"/>
          <w:sz w:val="23"/>
        </w:rPr>
      </w:pPr>
      <w:r>
        <w:rPr>
          <w:rFonts w:ascii="宋体" w:eastAsia="宋体" w:hAnsi="宋体"/>
          <w:sz w:val="23"/>
        </w:rPr>
        <w:t>• 工程要点（已落地）：批量官方评测（等价、约 2× 提速）；--ot-fast；--ema-decay；年龄逐样本归一化修复；教师固定带关系头；nbr 特征广播修复。</w:t>
      </w:r>
    </w:p>
    <w:p w14:paraId="5E9DA614" w14:textId="77777777" w:rsidR="005D7050" w:rsidRPr="005D7050" w:rsidRDefault="005D7050">
      <w:pPr>
        <w:rPr>
          <w:rFonts w:ascii="宋体" w:eastAsia="宋体" w:hAnsi="宋体"/>
          <w:sz w:val="23"/>
        </w:rPr>
      </w:pPr>
    </w:p>
    <w:sectPr w:rsidR="005D7050" w:rsidRPr="005D7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50"/>
    <w:rsid w:val="005D7050"/>
    <w:rsid w:val="00862904"/>
    <w:rsid w:val="00D71B6C"/>
    <w:rsid w:val="00E4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55B3"/>
  <w15:chartTrackingRefBased/>
  <w15:docId w15:val="{F850CA8D-2310-4F13-BE99-9ED13BA9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70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0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0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0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0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0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0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0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0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7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7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70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70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70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70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70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70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70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7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0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70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0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70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0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0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70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7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家宏 刘</dc:creator>
  <cp:keywords/>
  <dc:description/>
  <cp:lastModifiedBy>家宏 刘</cp:lastModifiedBy>
  <cp:revision>1</cp:revision>
  <dcterms:created xsi:type="dcterms:W3CDTF">2026-10-16T13:02:00Z</dcterms:created>
  <dcterms:modified xsi:type="dcterms:W3CDTF">2026-10-16T13:02:00Z</dcterms:modified>
</cp:coreProperties>
</file>