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03100" w14:textId="77777777" w:rsidR="00796D31" w:rsidRDefault="000F41CF">
      <w:pPr>
        <w:pStyle w:val="Title"/>
        <w:spacing w:after="80" w:line="252" w:lineRule="auto"/>
      </w:pPr>
      <w:r>
        <w:t>Candidate Version 3 Research Questions</w:t>
      </w:r>
    </w:p>
    <w:p w14:paraId="25E4C26A" w14:textId="77777777" w:rsidR="00796D31" w:rsidRDefault="000F41CF">
      <w:pPr>
        <w:spacing w:after="80" w:line="252" w:lineRule="auto"/>
        <w:rPr>
          <w:rFonts w:hint="eastAsia"/>
        </w:rPr>
      </w:pPr>
      <w:r>
        <w:rPr>
          <w:b/>
          <w:color w:val="595959"/>
          <w:sz w:val="24"/>
        </w:rPr>
        <w:t>Parked Pending Completion of Version 2 Adversarial Review</w:t>
      </w:r>
    </w:p>
    <w:tbl>
      <w:tblPr>
        <w:tblW w:w="0" w:type="auto"/>
        <w:jc w:val="center"/>
        <w:tblLook w:val="04A0" w:firstRow="1" w:lastRow="0" w:firstColumn="1" w:lastColumn="0" w:noHBand="0" w:noVBand="1"/>
      </w:tblPr>
      <w:tblGrid>
        <w:gridCol w:w="9936"/>
      </w:tblGrid>
      <w:tr w:rsidR="00796D31" w14:paraId="0AE4C06C" w14:textId="77777777">
        <w:trPr>
          <w:jc w:val="center"/>
        </w:trPr>
        <w:tc>
          <w:tcPr>
            <w:tcW w:w="9936" w:type="dxa"/>
            <w:shd w:val="clear" w:color="auto" w:fill="EAF2F8"/>
            <w:vAlign w:val="center"/>
          </w:tcPr>
          <w:p w14:paraId="5403282F" w14:textId="77777777" w:rsidR="00796D31" w:rsidRDefault="000F41CF">
            <w:pPr>
              <w:spacing w:after="40"/>
              <w:rPr>
                <w:rFonts w:hint="eastAsia"/>
              </w:rPr>
            </w:pPr>
            <w:r>
              <w:rPr>
                <w:b/>
                <w:color w:val="1F4E79"/>
                <w:sz w:val="19"/>
              </w:rPr>
              <w:t>STATUS: PARKED RESEARCH NOTE — NOT AN AUTHORIZED VERSION 3 SPECIFICATION</w:t>
            </w:r>
          </w:p>
          <w:p w14:paraId="18297E73" w14:textId="77777777" w:rsidR="00796D31" w:rsidRDefault="000F41CF">
            <w:pPr>
              <w:spacing w:after="40"/>
              <w:rPr>
                <w:rFonts w:hint="eastAsia"/>
              </w:rPr>
            </w:pPr>
            <w:r>
              <w:rPr>
                <w:sz w:val="19"/>
              </w:rPr>
              <w:t>Version 2 must be attacked on its own terms. None of the concepts below should be used to rescue, explain away, or retrofit a weakness that Version 2 is supposed to handle itself.</w:t>
            </w:r>
          </w:p>
        </w:tc>
      </w:tr>
    </w:tbl>
    <w:p w14:paraId="04B69D05" w14:textId="77777777" w:rsidR="00796D31" w:rsidRDefault="00796D31">
      <w:pPr>
        <w:spacing w:after="80" w:line="252" w:lineRule="auto"/>
        <w:rPr>
          <w:rFonts w:hint="eastAsia"/>
        </w:rPr>
      </w:pPr>
    </w:p>
    <w:p w14:paraId="6CB27B9E" w14:textId="77777777" w:rsidR="00796D31" w:rsidRDefault="000F41CF">
      <w:pPr>
        <w:pStyle w:val="Heading1"/>
        <w:spacing w:after="80" w:line="252" w:lineRule="auto"/>
      </w:pPr>
      <w:r>
        <w:t>Purpose of this note</w:t>
      </w:r>
    </w:p>
    <w:p w14:paraId="163D3C16" w14:textId="77777777" w:rsidR="00796D31" w:rsidRDefault="000F41CF">
      <w:pPr>
        <w:spacing w:after="120" w:line="252" w:lineRule="auto"/>
        <w:rPr>
          <w:rFonts w:hint="eastAsia"/>
        </w:rPr>
      </w:pPr>
      <w:r>
        <w:t>This document preserves candidate Version 3 ideas that emerged from discussion prompted by Wojciech’s critique of Version 2. The ideas are intentionally parked. Version 3 should exist only if a new research question survives the final adversarial examination of Version 2 and cannot be answered within the Version 2 model.</w:t>
      </w:r>
    </w:p>
    <w:p w14:paraId="4636C9D2" w14:textId="77777777" w:rsidR="00796D31" w:rsidRDefault="000F41CF">
      <w:pPr>
        <w:pStyle w:val="Heading2"/>
        <w:spacing w:after="80" w:line="252" w:lineRule="auto"/>
      </w:pPr>
      <w:r>
        <w:t>Working distinction:</w:t>
      </w:r>
    </w:p>
    <w:p w14:paraId="3EE94F1C" w14:textId="77777777" w:rsidR="00796D31" w:rsidRDefault="000F41CF">
      <w:pPr>
        <w:spacing w:after="80" w:line="252" w:lineRule="auto"/>
        <w:ind w:left="360"/>
        <w:rPr>
          <w:rFonts w:hint="eastAsia"/>
        </w:rPr>
      </w:pPr>
      <w:r>
        <w:rPr>
          <w:b/>
        </w:rPr>
        <w:t>Version 2 asks whether current authority governs execution.</w:t>
      </w:r>
    </w:p>
    <w:p w14:paraId="178CCC80" w14:textId="77777777" w:rsidR="00796D31" w:rsidRDefault="000F41CF">
      <w:pPr>
        <w:spacing w:after="80" w:line="252" w:lineRule="auto"/>
        <w:ind w:left="360"/>
        <w:rPr>
          <w:rFonts w:hint="eastAsia"/>
        </w:rPr>
      </w:pPr>
      <w:r>
        <w:rPr>
          <w:b/>
        </w:rPr>
        <w:t>A possible Version 3 would ask whether the actor creating or changing that authority had standing to do so.</w:t>
      </w:r>
    </w:p>
    <w:p w14:paraId="0F8E107C" w14:textId="77777777" w:rsidR="00796D31" w:rsidRDefault="000F41CF">
      <w:pPr>
        <w:pStyle w:val="Heading1"/>
        <w:spacing w:after="80" w:line="252" w:lineRule="auto"/>
      </w:pPr>
      <w:r>
        <w:t>Candidate core research question</w:t>
      </w:r>
    </w:p>
    <w:p w14:paraId="581B318C" w14:textId="77777777" w:rsidR="00796D31" w:rsidRDefault="000F41CF">
      <w:pPr>
        <w:spacing w:after="80" w:line="252" w:lineRule="auto"/>
        <w:rPr>
          <w:rFonts w:hint="eastAsia"/>
        </w:rPr>
      </w:pPr>
      <w:r>
        <w:rPr>
          <w:b/>
        </w:rPr>
        <w:t>Can an operational authority model determine not only whether a system currently has authority to execute a consequence, but whether the actor creating or changing that authority had standing to do so — including the scope, conditions, and cumulative consequence of the authority being created?</w:t>
      </w:r>
    </w:p>
    <w:p w14:paraId="2648B329" w14:textId="77777777" w:rsidR="00796D31" w:rsidRDefault="000F41CF">
      <w:pPr>
        <w:spacing w:after="80" w:line="252" w:lineRule="auto"/>
        <w:rPr>
          <w:rFonts w:hint="eastAsia"/>
        </w:rPr>
      </w:pPr>
      <w:r>
        <w:t>The clean adversarial form is: hold the evidence, requested consequence, technical validity, recommendation, governance disposition, and proposed authority boundary constant. Change only the decision actor. If one actor has standing and the other does not, only the authorized actor’s decision should be capable of creating executable authority.</w:t>
      </w:r>
    </w:p>
    <w:p w14:paraId="4E0DE391" w14:textId="77777777" w:rsidR="00796D31" w:rsidRDefault="000F41CF">
      <w:pPr>
        <w:pStyle w:val="Heading1"/>
        <w:spacing w:after="80" w:line="252" w:lineRule="auto"/>
      </w:pPr>
      <w:r>
        <w:t>Minimal model extension</w:t>
      </w:r>
    </w:p>
    <w:p w14:paraId="05E009F2" w14:textId="77777777" w:rsidR="00796D31" w:rsidRDefault="000F41CF">
      <w:pPr>
        <w:spacing w:after="80" w:line="252" w:lineRule="auto"/>
        <w:jc w:val="center"/>
        <w:rPr>
          <w:rFonts w:hint="eastAsia"/>
        </w:rPr>
      </w:pPr>
      <w:r>
        <w:t>Version 2’s simplified chain is:</w:t>
      </w:r>
      <w:r>
        <w:rPr>
          <w:b/>
        </w:rPr>
        <w:t>Material change → Governance decision → Resulting authority → Enforceable boundary → Execution</w:t>
      </w:r>
    </w:p>
    <w:p w14:paraId="7EEA3B56" w14:textId="77777777" w:rsidR="00796D31" w:rsidRDefault="000F41CF">
      <w:pPr>
        <w:spacing w:after="80" w:line="252" w:lineRule="auto"/>
        <w:jc w:val="center"/>
        <w:rPr>
          <w:rFonts w:hint="eastAsia"/>
        </w:rPr>
      </w:pPr>
      <w:r>
        <w:t>The candidate extension would insert an actor-standing evaluation before authority can come into existence:</w:t>
      </w:r>
      <w:r>
        <w:rPr>
          <w:b/>
        </w:rPr>
        <w:t>Material change → Governance decision attempted by actor → Actor standing evaluated → Resulting authority created or refused → Enforceable boundary → Execution</w:t>
      </w:r>
    </w:p>
    <w:p w14:paraId="7AF35BCF" w14:textId="77777777" w:rsidR="00796D31" w:rsidRDefault="000F41CF">
      <w:pPr>
        <w:spacing w:after="80" w:line="252" w:lineRule="auto"/>
        <w:rPr>
          <w:rFonts w:hint="eastAsia"/>
        </w:rPr>
      </w:pPr>
      <w:r>
        <w:t>Standing is not another governance disposition. RENEW, NARROW, CONDITION, TRANSFER, SUSPEND, and REFUSE can remain unchanged. Standing answers a different question: was this actor entitled to make this disposition create or alter authority?</w:t>
      </w:r>
    </w:p>
    <w:p w14:paraId="651600EB" w14:textId="77777777" w:rsidR="00796D31" w:rsidRDefault="000F41CF">
      <w:pPr>
        <w:pStyle w:val="Heading1"/>
        <w:spacing w:after="80" w:line="252" w:lineRule="auto"/>
      </w:pPr>
      <w:r>
        <w:t>Standing should be bounded, not title-driven</w:t>
      </w:r>
    </w:p>
    <w:p w14:paraId="182E26CB" w14:textId="77777777" w:rsidR="00796D31" w:rsidRDefault="000F41CF">
      <w:pPr>
        <w:spacing w:after="80" w:line="252" w:lineRule="auto"/>
        <w:rPr>
          <w:rFonts w:hint="eastAsia"/>
        </w:rPr>
      </w:pPr>
      <w:r>
        <w:t>Organizational rank should not be treated as a universal authorization mechanism. Two executives at the same level may have very different standing over the same consequence. The relevant question is authority over what, under which conditions, for which consequences, with what limits, and with what escalation path.</w:t>
      </w:r>
    </w:p>
    <w:tbl>
      <w:tblPr>
        <w:tblStyle w:val="TableGrid"/>
        <w:tblW w:w="0" w:type="auto"/>
        <w:jc w:val="center"/>
        <w:tblLook w:val="04A0" w:firstRow="1" w:lastRow="0" w:firstColumn="1" w:lastColumn="0" w:noHBand="0" w:noVBand="1"/>
      </w:tblPr>
      <w:tblGrid>
        <w:gridCol w:w="4968"/>
        <w:gridCol w:w="4968"/>
      </w:tblGrid>
      <w:tr w:rsidR="00796D31" w14:paraId="39E1FC0D" w14:textId="77777777">
        <w:trPr>
          <w:jc w:val="center"/>
        </w:trPr>
        <w:tc>
          <w:tcPr>
            <w:tcW w:w="4968" w:type="dxa"/>
            <w:vAlign w:val="center"/>
          </w:tcPr>
          <w:p w14:paraId="3D92F10B" w14:textId="77777777" w:rsidR="00796D31" w:rsidRDefault="000F41CF">
            <w:pPr>
              <w:spacing w:after="40"/>
              <w:rPr>
                <w:rFonts w:hint="eastAsia"/>
              </w:rPr>
            </w:pPr>
            <w:r>
              <w:rPr>
                <w:sz w:val="19"/>
              </w:rPr>
              <w:lastRenderedPageBreak/>
              <w:t>Standing type</w:t>
            </w:r>
          </w:p>
        </w:tc>
        <w:tc>
          <w:tcPr>
            <w:tcW w:w="4968" w:type="dxa"/>
            <w:vAlign w:val="center"/>
          </w:tcPr>
          <w:p w14:paraId="49360EC8" w14:textId="77777777" w:rsidR="00796D31" w:rsidRDefault="000F41CF">
            <w:pPr>
              <w:spacing w:after="40"/>
              <w:rPr>
                <w:rFonts w:hint="eastAsia"/>
              </w:rPr>
            </w:pPr>
            <w:r>
              <w:rPr>
                <w:sz w:val="19"/>
              </w:rPr>
              <w:t>Meaning</w:t>
            </w:r>
          </w:p>
        </w:tc>
      </w:tr>
      <w:tr w:rsidR="00796D31" w14:paraId="66B4C300" w14:textId="77777777">
        <w:trPr>
          <w:jc w:val="center"/>
        </w:trPr>
        <w:tc>
          <w:tcPr>
            <w:tcW w:w="4968" w:type="dxa"/>
            <w:vAlign w:val="center"/>
          </w:tcPr>
          <w:p w14:paraId="2D8F600E" w14:textId="77777777" w:rsidR="00796D31" w:rsidRDefault="000F41CF">
            <w:pPr>
              <w:spacing w:after="40"/>
              <w:rPr>
                <w:rFonts w:hint="eastAsia"/>
              </w:rPr>
            </w:pPr>
            <w:r>
              <w:rPr>
                <w:sz w:val="19"/>
              </w:rPr>
              <w:t>Normal standing</w:t>
            </w:r>
          </w:p>
        </w:tc>
        <w:tc>
          <w:tcPr>
            <w:tcW w:w="4968" w:type="dxa"/>
            <w:vAlign w:val="center"/>
          </w:tcPr>
          <w:p w14:paraId="7064D10D" w14:textId="77777777" w:rsidR="00796D31" w:rsidRDefault="000F41CF">
            <w:pPr>
              <w:spacing w:after="40"/>
              <w:rPr>
                <w:rFonts w:hint="eastAsia"/>
              </w:rPr>
            </w:pPr>
            <w:r>
              <w:rPr>
                <w:sz w:val="19"/>
              </w:rPr>
              <w:t>Actor is part of the ordinary authority path for the consequence.</w:t>
            </w:r>
          </w:p>
        </w:tc>
      </w:tr>
      <w:tr w:rsidR="00796D31" w14:paraId="48333EDA" w14:textId="77777777">
        <w:trPr>
          <w:jc w:val="center"/>
        </w:trPr>
        <w:tc>
          <w:tcPr>
            <w:tcW w:w="4968" w:type="dxa"/>
            <w:vAlign w:val="center"/>
          </w:tcPr>
          <w:p w14:paraId="3FA9CAC4" w14:textId="77777777" w:rsidR="00796D31" w:rsidRDefault="000F41CF">
            <w:pPr>
              <w:spacing w:after="40"/>
              <w:rPr>
                <w:rFonts w:hint="eastAsia"/>
              </w:rPr>
            </w:pPr>
            <w:r>
              <w:rPr>
                <w:sz w:val="19"/>
              </w:rPr>
              <w:t>Conditional standing</w:t>
            </w:r>
          </w:p>
        </w:tc>
        <w:tc>
          <w:tcPr>
            <w:tcW w:w="4968" w:type="dxa"/>
            <w:vAlign w:val="center"/>
          </w:tcPr>
          <w:p w14:paraId="6FD48D07" w14:textId="77777777" w:rsidR="00796D31" w:rsidRDefault="000F41CF">
            <w:pPr>
              <w:spacing w:after="40"/>
              <w:rPr>
                <w:rFonts w:hint="eastAsia"/>
              </w:rPr>
            </w:pPr>
            <w:r>
              <w:rPr>
                <w:sz w:val="19"/>
              </w:rPr>
              <w:t>Actor may create authority only when defined conditions and scope limits are satisfied.</w:t>
            </w:r>
          </w:p>
        </w:tc>
      </w:tr>
      <w:tr w:rsidR="00796D31" w14:paraId="7CF16790" w14:textId="77777777">
        <w:trPr>
          <w:jc w:val="center"/>
        </w:trPr>
        <w:tc>
          <w:tcPr>
            <w:tcW w:w="4968" w:type="dxa"/>
            <w:vAlign w:val="center"/>
          </w:tcPr>
          <w:p w14:paraId="70FF0E07" w14:textId="77777777" w:rsidR="00796D31" w:rsidRDefault="000F41CF">
            <w:pPr>
              <w:spacing w:after="40"/>
              <w:rPr>
                <w:rFonts w:hint="eastAsia"/>
              </w:rPr>
            </w:pPr>
            <w:r>
              <w:rPr>
                <w:sz w:val="19"/>
              </w:rPr>
              <w:t>Exceptional standing</w:t>
            </w:r>
          </w:p>
        </w:tc>
        <w:tc>
          <w:tcPr>
            <w:tcW w:w="4968" w:type="dxa"/>
            <w:vAlign w:val="center"/>
          </w:tcPr>
          <w:p w14:paraId="03CA24C6" w14:textId="77777777" w:rsidR="00796D31" w:rsidRDefault="000F41CF">
            <w:pPr>
              <w:spacing w:after="40"/>
              <w:rPr>
                <w:rFonts w:hint="eastAsia"/>
              </w:rPr>
            </w:pPr>
            <w:r>
              <w:rPr>
                <w:sz w:val="19"/>
              </w:rPr>
              <w:t>Actor is outside the ordinary path but has explicitly defined authority to intervene under specified circumstances.</w:t>
            </w:r>
          </w:p>
        </w:tc>
      </w:tr>
    </w:tbl>
    <w:p w14:paraId="541F02E3" w14:textId="77777777" w:rsidR="00796D31" w:rsidRDefault="000F41CF">
      <w:pPr>
        <w:pStyle w:val="Heading1"/>
        <w:spacing w:after="80" w:line="252" w:lineRule="auto"/>
      </w:pPr>
      <w:r>
        <w:t>Scenario examples</w:t>
      </w:r>
    </w:p>
    <w:p w14:paraId="44BE96CE" w14:textId="77777777" w:rsidR="00796D31" w:rsidRDefault="000F41CF">
      <w:pPr>
        <w:pStyle w:val="Heading2"/>
        <w:spacing w:after="80" w:line="252" w:lineRule="auto"/>
      </w:pPr>
      <w:r>
        <w:t>1. Automated Refund</w:t>
      </w:r>
    </w:p>
    <w:p w14:paraId="5EAC3C98" w14:textId="77777777" w:rsidR="00796D31" w:rsidRDefault="000F41CF">
      <w:pPr>
        <w:pStyle w:val="ListBullet"/>
        <w:spacing w:after="80" w:line="252" w:lineRule="auto"/>
        <w:rPr>
          <w:rFonts w:hint="eastAsia"/>
        </w:rPr>
      </w:pPr>
      <w:r>
        <w:t>Automated system: may approve refunds up to $250 within its normal risk boundary.</w:t>
      </w:r>
    </w:p>
    <w:p w14:paraId="109D724E" w14:textId="77777777" w:rsidR="00796D31" w:rsidRDefault="000F41CF">
      <w:pPr>
        <w:pStyle w:val="ListBullet"/>
        <w:spacing w:after="80" w:line="252" w:lineRule="auto"/>
        <w:rPr>
          <w:rFonts w:hint="eastAsia"/>
        </w:rPr>
      </w:pPr>
      <w:r>
        <w:t>Store associate: may override up to $500, but may not override a HIGH-risk customer.</w:t>
      </w:r>
    </w:p>
    <w:p w14:paraId="0336E113" w14:textId="77777777" w:rsidR="00796D31" w:rsidRDefault="000F41CF">
      <w:pPr>
        <w:pStyle w:val="ListBullet"/>
        <w:spacing w:after="80" w:line="252" w:lineRule="auto"/>
        <w:rPr>
          <w:rFonts w:hint="eastAsia"/>
        </w:rPr>
      </w:pPr>
      <w:r>
        <w:t>Store manager: may authorize up to $750 and may have defined HIGH-risk exception authority.</w:t>
      </w:r>
    </w:p>
    <w:p w14:paraId="6B6534FF" w14:textId="77777777" w:rsidR="00796D31" w:rsidRDefault="000F41CF">
      <w:pPr>
        <w:pStyle w:val="ListBullet"/>
        <w:spacing w:after="80" w:line="252" w:lineRule="auto"/>
        <w:rPr>
          <w:rFonts w:hint="eastAsia"/>
        </w:rPr>
      </w:pPr>
      <w:r>
        <w:t>Beyond the manager boundary: escalation may go to an area manager, Risk, Finance, or Operations.</w:t>
      </w:r>
    </w:p>
    <w:p w14:paraId="24AF0317" w14:textId="77777777" w:rsidR="00796D31" w:rsidRDefault="000F41CF">
      <w:pPr>
        <w:spacing w:after="80" w:line="252" w:lineRule="auto"/>
        <w:rPr>
          <w:rFonts w:hint="eastAsia"/>
        </w:rPr>
      </w:pPr>
      <w:r>
        <w:t>Key tests: a $400 LOW-risk refund can be within associate standing; the same $400 HIGH-risk refund is outside it. A $500 LOW-risk refund is within standing while $501 crosses the associate boundary. The same disposition should create authority only when the actor’s standing encompasses the requested authority.</w:t>
      </w:r>
    </w:p>
    <w:p w14:paraId="69165BB3" w14:textId="77777777" w:rsidR="00796D31" w:rsidRDefault="000F41CF">
      <w:pPr>
        <w:pStyle w:val="Heading2"/>
        <w:spacing w:after="80" w:line="252" w:lineRule="auto"/>
      </w:pPr>
      <w:r>
        <w:t>2. Privileged System Access</w:t>
      </w:r>
    </w:p>
    <w:p w14:paraId="19C8D3C5" w14:textId="77777777" w:rsidR="00796D31" w:rsidRDefault="000F41CF">
      <w:pPr>
        <w:pStyle w:val="ListBullet"/>
        <w:spacing w:after="80" w:line="252" w:lineRule="auto"/>
        <w:rPr>
          <w:rFonts w:hint="eastAsia"/>
        </w:rPr>
      </w:pPr>
      <w:r>
        <w:t>Automated identity/access system: normal pre-approved access only.</w:t>
      </w:r>
    </w:p>
    <w:p w14:paraId="4870FC11" w14:textId="77777777" w:rsidR="00796D31" w:rsidRDefault="000F41CF">
      <w:pPr>
        <w:pStyle w:val="ListBullet"/>
        <w:spacing w:after="80" w:line="252" w:lineRule="auto"/>
        <w:rPr>
          <w:rFonts w:hint="eastAsia"/>
        </w:rPr>
      </w:pPr>
      <w:r>
        <w:t>Team lead: temporary elevated application access within a limited scope.</w:t>
      </w:r>
    </w:p>
    <w:p w14:paraId="3182E74D" w14:textId="77777777" w:rsidR="00796D31" w:rsidRDefault="000F41CF">
      <w:pPr>
        <w:pStyle w:val="ListBullet"/>
        <w:spacing w:after="80" w:line="252" w:lineRule="auto"/>
        <w:rPr>
          <w:rFonts w:hint="eastAsia"/>
        </w:rPr>
      </w:pPr>
      <w:r>
        <w:t>IT Operations manager: broader production access under defined controls.</w:t>
      </w:r>
    </w:p>
    <w:p w14:paraId="05F0479F" w14:textId="77777777" w:rsidR="00796D31" w:rsidRDefault="000F41CF">
      <w:pPr>
        <w:pStyle w:val="ListBullet"/>
        <w:spacing w:after="80" w:line="252" w:lineRule="auto"/>
        <w:rPr>
          <w:rFonts w:hint="eastAsia"/>
        </w:rPr>
      </w:pPr>
      <w:r>
        <w:t>Security/CISO: exceptional privileged-access authority for defined cases.</w:t>
      </w:r>
    </w:p>
    <w:p w14:paraId="6DF85FA6" w14:textId="77777777" w:rsidR="00796D31" w:rsidRDefault="000F41CF">
      <w:pPr>
        <w:pStyle w:val="ListBullet"/>
        <w:spacing w:after="80" w:line="252" w:lineRule="auto"/>
        <w:rPr>
          <w:rFonts w:hint="eastAsia"/>
        </w:rPr>
      </w:pPr>
      <w:r>
        <w:t>CEO: may have a separate exceptional authority path for temporary access even though the CEO is not normally in the access-approval chain.</w:t>
      </w:r>
    </w:p>
    <w:p w14:paraId="6C7A48AE" w14:textId="77777777" w:rsidR="00796D31" w:rsidRDefault="000F41CF">
      <w:pPr>
        <w:spacing w:after="80" w:line="252" w:lineRule="auto"/>
        <w:rPr>
          <w:rFonts w:hint="eastAsia"/>
        </w:rPr>
      </w:pPr>
      <w:r>
        <w:t>Example: a Sales EVP previously had administrator access because of an earlier role, no longer has it positionally, and must resolve a legacy problem. The CEO may have explicit exceptional standing to authorize narrowly scoped administrator access for 48 hours, while not necessarily having standing to convert that exception into a permanent access assignment.</w:t>
      </w:r>
    </w:p>
    <w:p w14:paraId="2A433246" w14:textId="77777777" w:rsidR="00796D31" w:rsidRDefault="000F41CF">
      <w:pPr>
        <w:pStyle w:val="Heading2"/>
        <w:spacing w:after="80" w:line="252" w:lineRule="auto"/>
      </w:pPr>
      <w:r>
        <w:t>3. Workforce Shift Assignment</w:t>
      </w:r>
    </w:p>
    <w:p w14:paraId="6EEC7308" w14:textId="77777777" w:rsidR="00796D31" w:rsidRDefault="000F41CF">
      <w:pPr>
        <w:pStyle w:val="ListBullet"/>
        <w:spacing w:after="80" w:line="252" w:lineRule="auto"/>
        <w:rPr>
          <w:rFonts w:hint="eastAsia"/>
        </w:rPr>
      </w:pPr>
      <w:r>
        <w:t>Automated scheduler: ordinary assignments up to the base weekly-hours boundary.</w:t>
      </w:r>
    </w:p>
    <w:p w14:paraId="0005DE50" w14:textId="77777777" w:rsidR="00796D31" w:rsidRDefault="000F41CF">
      <w:pPr>
        <w:pStyle w:val="ListBullet"/>
        <w:spacing w:after="80" w:line="252" w:lineRule="auto"/>
        <w:rPr>
          <w:rFonts w:hint="eastAsia"/>
        </w:rPr>
      </w:pPr>
      <w:r>
        <w:t>Shift supervisor: limited overtime or scheduling exception authority.</w:t>
      </w:r>
    </w:p>
    <w:p w14:paraId="7C2E65D2" w14:textId="77777777" w:rsidR="00796D31" w:rsidRDefault="000F41CF">
      <w:pPr>
        <w:pStyle w:val="ListBullet"/>
        <w:spacing w:after="80" w:line="252" w:lineRule="auto"/>
        <w:rPr>
          <w:rFonts w:hint="eastAsia"/>
        </w:rPr>
      </w:pPr>
      <w:r>
        <w:t>Operations manager: broader hours and defined staffing-emergency authority.</w:t>
      </w:r>
    </w:p>
    <w:p w14:paraId="1B05236D" w14:textId="77777777" w:rsidR="00796D31" w:rsidRDefault="000F41CF">
      <w:pPr>
        <w:pStyle w:val="ListBullet"/>
        <w:spacing w:after="80" w:line="252" w:lineRule="auto"/>
        <w:rPr>
          <w:rFonts w:hint="eastAsia"/>
        </w:rPr>
      </w:pPr>
      <w:r>
        <w:t>HR/Workforce authority: required for higher-risk, labor-rule, or exceptional cases.</w:t>
      </w:r>
    </w:p>
    <w:p w14:paraId="2F2CD0B5" w14:textId="77777777" w:rsidR="00796D31" w:rsidRDefault="000F41CF">
      <w:pPr>
        <w:spacing w:after="80" w:line="252" w:lineRule="auto"/>
        <w:rPr>
          <w:rFonts w:hint="eastAsia"/>
        </w:rPr>
      </w:pPr>
      <w:r>
        <w:t>Standing can depend on both numeric scope and conditions such as employee consent, overtime budget, or required rest periods. A senior executive outside the workforce authority path should not gain standing merely by rank.</w:t>
      </w:r>
    </w:p>
    <w:p w14:paraId="654F8DDD" w14:textId="77777777" w:rsidR="00796D31" w:rsidRDefault="000F41CF">
      <w:pPr>
        <w:pStyle w:val="Heading2"/>
        <w:spacing w:after="80" w:line="252" w:lineRule="auto"/>
      </w:pPr>
      <w:r>
        <w:t>4. Procurement / Total Acquisition Cost</w:t>
      </w:r>
    </w:p>
    <w:p w14:paraId="38023685" w14:textId="77777777" w:rsidR="00796D31" w:rsidRDefault="000F41CF">
      <w:pPr>
        <w:pStyle w:val="ListBullet"/>
        <w:spacing w:after="80" w:line="252" w:lineRule="auto"/>
        <w:rPr>
          <w:rFonts w:hint="eastAsia"/>
        </w:rPr>
      </w:pPr>
      <w:r>
        <w:t>Automated procurement: low-value, standard purchases.</w:t>
      </w:r>
    </w:p>
    <w:p w14:paraId="47F260FC" w14:textId="77777777" w:rsidR="00796D31" w:rsidRDefault="000F41CF">
      <w:pPr>
        <w:pStyle w:val="ListBullet"/>
        <w:spacing w:after="80" w:line="252" w:lineRule="auto"/>
        <w:rPr>
          <w:rFonts w:hint="eastAsia"/>
        </w:rPr>
      </w:pPr>
      <w:r>
        <w:t>Procurement manager: broader purchase authority within defined limits.</w:t>
      </w:r>
    </w:p>
    <w:p w14:paraId="387F8721" w14:textId="77777777" w:rsidR="00796D31" w:rsidRDefault="000F41CF">
      <w:pPr>
        <w:pStyle w:val="ListBullet"/>
        <w:spacing w:after="80" w:line="252" w:lineRule="auto"/>
        <w:rPr>
          <w:rFonts w:hint="eastAsia"/>
        </w:rPr>
      </w:pPr>
      <w:r>
        <w:t>Director of Procurement: higher commitment authority and specified policy exceptions.</w:t>
      </w:r>
    </w:p>
    <w:p w14:paraId="0F6FBFD4" w14:textId="77777777" w:rsidR="00796D31" w:rsidRDefault="000F41CF">
      <w:pPr>
        <w:pStyle w:val="ListBullet"/>
        <w:spacing w:after="80" w:line="252" w:lineRule="auto"/>
        <w:rPr>
          <w:rFonts w:hint="eastAsia"/>
        </w:rPr>
      </w:pPr>
      <w:r>
        <w:t>CFO/Finance: larger financial commitment authority subject to defined financial controls.</w:t>
      </w:r>
    </w:p>
    <w:p w14:paraId="4D1EDC64" w14:textId="77777777" w:rsidR="00796D31" w:rsidRDefault="000F41CF">
      <w:pPr>
        <w:spacing w:after="80" w:line="252" w:lineRule="auto"/>
        <w:rPr>
          <w:rFonts w:hint="eastAsia"/>
        </w:rPr>
      </w:pPr>
      <w:r>
        <w:lastRenderedPageBreak/>
        <w:t>This scenario carries forward Version 2’s key lesson: the standing boundary itself can be defined over the wrong quantity. A Director may appear authorized if standing is measured against equipment price when the real organizational exposure is total acquisition cost. A system can enforce the wrong standing boundary just as faithfully as it can enforce the wrong execution boundary.</w:t>
      </w:r>
    </w:p>
    <w:p w14:paraId="33F9C0E5" w14:textId="77777777" w:rsidR="00796D31" w:rsidRDefault="000F41CF">
      <w:pPr>
        <w:pStyle w:val="Heading2"/>
        <w:spacing w:after="80" w:line="252" w:lineRule="auto"/>
      </w:pPr>
      <w:r>
        <w:t>5. Customer Account Restriction</w:t>
      </w:r>
    </w:p>
    <w:p w14:paraId="0F69DF7F" w14:textId="77777777" w:rsidR="00796D31" w:rsidRDefault="000F41CF">
      <w:pPr>
        <w:pStyle w:val="ListBullet"/>
        <w:spacing w:after="80" w:line="252" w:lineRule="auto"/>
        <w:rPr>
          <w:rFonts w:hint="eastAsia"/>
        </w:rPr>
      </w:pPr>
      <w:r>
        <w:t>Automated system: monitoring or limited low-severity actions.</w:t>
      </w:r>
    </w:p>
    <w:p w14:paraId="6BAFB77E" w14:textId="77777777" w:rsidR="00796D31" w:rsidRDefault="000F41CF">
      <w:pPr>
        <w:pStyle w:val="ListBullet"/>
        <w:spacing w:after="80" w:line="252" w:lineRule="auto"/>
        <w:rPr>
          <w:rFonts w:hint="eastAsia"/>
        </w:rPr>
      </w:pPr>
      <w:r>
        <w:t>Customer-service supervisor: temporary restriction within a short duration and evidence boundary.</w:t>
      </w:r>
    </w:p>
    <w:p w14:paraId="4F1F4AFE" w14:textId="77777777" w:rsidR="00796D31" w:rsidRDefault="000F41CF">
      <w:pPr>
        <w:pStyle w:val="ListBullet"/>
        <w:spacing w:after="80" w:line="252" w:lineRule="auto"/>
        <w:rPr>
          <w:rFonts w:hint="eastAsia"/>
        </w:rPr>
      </w:pPr>
      <w:r>
        <w:t>Account Operations manager: longer restrictions subject to additional evidence or review.</w:t>
      </w:r>
    </w:p>
    <w:p w14:paraId="7E8CD39A" w14:textId="77777777" w:rsidR="00796D31" w:rsidRDefault="000F41CF">
      <w:pPr>
        <w:pStyle w:val="ListBullet"/>
        <w:spacing w:after="80" w:line="252" w:lineRule="auto"/>
        <w:rPr>
          <w:rFonts w:hint="eastAsia"/>
        </w:rPr>
      </w:pPr>
      <w:r>
        <w:t>Risk/Fraud authority: high-severity or extended restriction authority.</w:t>
      </w:r>
    </w:p>
    <w:p w14:paraId="7B9EB945" w14:textId="77777777" w:rsidR="00796D31" w:rsidRDefault="000F41CF">
      <w:pPr>
        <w:spacing w:after="80" w:line="252" w:lineRule="auto"/>
        <w:rPr>
          <w:rFonts w:hint="eastAsia"/>
        </w:rPr>
      </w:pPr>
      <w:r>
        <w:t>The relevant standing dimensions may include restriction severity, duration, identity verification, evidence quality, and secondary review. A person authorized to create a 24-hour restriction should not automatically be treated as authorized to create an indefinite one.</w:t>
      </w:r>
    </w:p>
    <w:p w14:paraId="133695B6" w14:textId="77777777" w:rsidR="00796D31" w:rsidRDefault="000F41CF">
      <w:pPr>
        <w:pStyle w:val="Heading1"/>
        <w:spacing w:after="80" w:line="252" w:lineRule="auto"/>
      </w:pPr>
      <w:r>
        <w:t>Authority is not necessarily a ladder</w:t>
      </w:r>
    </w:p>
    <w:p w14:paraId="301A3485" w14:textId="77777777" w:rsidR="00796D31" w:rsidRDefault="000F41CF">
      <w:pPr>
        <w:spacing w:after="80" w:line="252" w:lineRule="auto"/>
        <w:rPr>
          <w:rFonts w:hint="eastAsia"/>
        </w:rPr>
      </w:pPr>
      <w:r>
        <w:t>The scenarios should not be forced to contain the same number of layers. Real authority structures are not uniform. The model should represent only as many ordinary and alternative authority paths as are necessary to test the proposition in that domain.</w:t>
      </w:r>
    </w:p>
    <w:p w14:paraId="785D9E24" w14:textId="77777777" w:rsidR="00796D31" w:rsidRDefault="000F41CF">
      <w:pPr>
        <w:spacing w:after="80" w:line="252" w:lineRule="auto"/>
        <w:rPr>
          <w:rFonts w:hint="eastAsia"/>
        </w:rPr>
      </w:pPr>
      <w:r>
        <w:t>A better mental model is a bounded network of ordinary, conditional, and exceptional authority paths rather than a single hierarchy where the highest-ranking person always “wins.”</w:t>
      </w:r>
    </w:p>
    <w:p w14:paraId="3A88C463" w14:textId="77777777" w:rsidR="00796D31" w:rsidRDefault="000F41CF">
      <w:pPr>
        <w:pStyle w:val="Heading1"/>
        <w:spacing w:after="80" w:line="252" w:lineRule="auto"/>
      </w:pPr>
      <w:r>
        <w:t>Exceptional authority and the CEO example</w:t>
      </w:r>
    </w:p>
    <w:p w14:paraId="2BE2E6CD" w14:textId="77777777" w:rsidR="00796D31" w:rsidRDefault="000F41CF">
      <w:pPr>
        <w:spacing w:after="80" w:line="252" w:lineRule="auto"/>
        <w:rPr>
          <w:rFonts w:hint="eastAsia"/>
        </w:rPr>
      </w:pPr>
      <w:r>
        <w:t>Exceptional standing should be explicit and bounded. A CEO may legitimately sit outside the normal privileged-access decision chain while still having organizational authority to create a temporary exception. That does not imply unlimited authority through that exception mechanism.</w:t>
      </w:r>
    </w:p>
    <w:p w14:paraId="3ABD2256" w14:textId="77777777" w:rsidR="00796D31" w:rsidRDefault="000F41CF">
      <w:pPr>
        <w:pStyle w:val="ListBullet"/>
        <w:spacing w:after="80" w:line="252" w:lineRule="auto"/>
        <w:rPr>
          <w:rFonts w:hint="eastAsia"/>
        </w:rPr>
      </w:pPr>
      <w:r>
        <w:t>Recipient: Sales EVP</w:t>
      </w:r>
    </w:p>
    <w:p w14:paraId="04DB0B3F" w14:textId="77777777" w:rsidR="00796D31" w:rsidRDefault="000F41CF">
      <w:pPr>
        <w:pStyle w:val="ListBullet"/>
        <w:spacing w:after="80" w:line="252" w:lineRule="auto"/>
        <w:rPr>
          <w:rFonts w:hint="eastAsia"/>
        </w:rPr>
      </w:pPr>
      <w:r>
        <w:t>Authority granted: production administrator access</w:t>
      </w:r>
    </w:p>
    <w:p w14:paraId="624B26BC" w14:textId="77777777" w:rsidR="00796D31" w:rsidRDefault="000F41CF">
      <w:pPr>
        <w:pStyle w:val="ListBullet"/>
        <w:spacing w:after="80" w:line="252" w:lineRule="auto"/>
        <w:rPr>
          <w:rFonts w:hint="eastAsia"/>
        </w:rPr>
      </w:pPr>
      <w:r>
        <w:t>Purpose: defined legacy remediation</w:t>
      </w:r>
    </w:p>
    <w:p w14:paraId="7819D2A2" w14:textId="77777777" w:rsidR="00796D31" w:rsidRDefault="000F41CF">
      <w:pPr>
        <w:pStyle w:val="ListBullet"/>
        <w:spacing w:after="80" w:line="252" w:lineRule="auto"/>
        <w:rPr>
          <w:rFonts w:hint="eastAsia"/>
        </w:rPr>
      </w:pPr>
      <w:r>
        <w:t>Scope: named systems/functions only</w:t>
      </w:r>
    </w:p>
    <w:p w14:paraId="11B296FA" w14:textId="77777777" w:rsidR="00796D31" w:rsidRDefault="000F41CF">
      <w:pPr>
        <w:pStyle w:val="ListBullet"/>
        <w:spacing w:after="80" w:line="252" w:lineRule="auto"/>
        <w:rPr>
          <w:rFonts w:hint="eastAsia"/>
        </w:rPr>
      </w:pPr>
      <w:r>
        <w:t>Duration: 48 hours</w:t>
      </w:r>
    </w:p>
    <w:p w14:paraId="0B56AD8B" w14:textId="77777777" w:rsidR="00796D31" w:rsidRDefault="000F41CF">
      <w:pPr>
        <w:pStyle w:val="ListBullet"/>
        <w:spacing w:after="80" w:line="252" w:lineRule="auto"/>
        <w:rPr>
          <w:rFonts w:hint="eastAsia"/>
        </w:rPr>
      </w:pPr>
      <w:r>
        <w:t>Controls: logging, audit, automatic expiration, other required security controls</w:t>
      </w:r>
    </w:p>
    <w:p w14:paraId="174C743B" w14:textId="77777777" w:rsidR="00796D31" w:rsidRDefault="000F41CF">
      <w:pPr>
        <w:pStyle w:val="ListBullet"/>
        <w:spacing w:after="80" w:line="252" w:lineRule="auto"/>
        <w:rPr>
          <w:rFonts w:hint="eastAsia"/>
        </w:rPr>
      </w:pPr>
      <w:r>
        <w:t>Provenance: CEO exceptional-access standing</w:t>
      </w:r>
    </w:p>
    <w:p w14:paraId="6B13C0E4" w14:textId="77777777" w:rsidR="00796D31" w:rsidRDefault="000F41CF">
      <w:pPr>
        <w:spacing w:after="80" w:line="252" w:lineRule="auto"/>
        <w:rPr>
          <w:rFonts w:hint="eastAsia"/>
        </w:rPr>
      </w:pPr>
      <w:r>
        <w:t>A permanent administrator assignment may require a different authority path even if the CEO may grant the temporary exception. The harness should evaluate the scope of the authority mechanism being used, not simply the actor’s organizational rank.</w:t>
      </w:r>
    </w:p>
    <w:p w14:paraId="6FDBD347" w14:textId="77777777" w:rsidR="00796D31" w:rsidRDefault="000F41CF">
      <w:pPr>
        <w:pStyle w:val="Heading1"/>
        <w:spacing w:after="80" w:line="252" w:lineRule="auto"/>
      </w:pPr>
      <w:r>
        <w:t>Cumulative and sequence-based circumvention</w:t>
      </w:r>
    </w:p>
    <w:p w14:paraId="5F452C93" w14:textId="77777777" w:rsidR="00796D31" w:rsidRDefault="000F41CF">
      <w:pPr>
        <w:spacing w:after="80" w:line="252" w:lineRule="auto"/>
        <w:rPr>
          <w:rFonts w:hint="eastAsia"/>
        </w:rPr>
      </w:pPr>
      <w:r>
        <w:t>A new problem appears when individually authorized decisions can be combined to create an authority state the grantor could not authorize directly. This suggests that standing sometimes requires both an atomic boundary and a cumulative boundary.</w:t>
      </w:r>
    </w:p>
    <w:tbl>
      <w:tblPr>
        <w:tblStyle w:val="TableGrid"/>
        <w:tblW w:w="0" w:type="auto"/>
        <w:jc w:val="center"/>
        <w:tblLook w:val="04A0" w:firstRow="1" w:lastRow="0" w:firstColumn="1" w:lastColumn="0" w:noHBand="0" w:noVBand="1"/>
      </w:tblPr>
      <w:tblGrid>
        <w:gridCol w:w="4968"/>
        <w:gridCol w:w="4968"/>
      </w:tblGrid>
      <w:tr w:rsidR="00796D31" w14:paraId="4C8B2226" w14:textId="77777777">
        <w:trPr>
          <w:jc w:val="center"/>
        </w:trPr>
        <w:tc>
          <w:tcPr>
            <w:tcW w:w="4968" w:type="dxa"/>
          </w:tcPr>
          <w:p w14:paraId="7BCBDEE3" w14:textId="77777777" w:rsidR="00796D31" w:rsidRDefault="000F41CF">
            <w:pPr>
              <w:spacing w:after="40"/>
              <w:rPr>
                <w:rFonts w:hint="eastAsia"/>
              </w:rPr>
            </w:pPr>
            <w:r>
              <w:rPr>
                <w:sz w:val="19"/>
              </w:rPr>
              <w:t>Scenario</w:t>
            </w:r>
          </w:p>
        </w:tc>
        <w:tc>
          <w:tcPr>
            <w:tcW w:w="4968" w:type="dxa"/>
          </w:tcPr>
          <w:p w14:paraId="5732A259" w14:textId="77777777" w:rsidR="00796D31" w:rsidRDefault="000F41CF">
            <w:pPr>
              <w:spacing w:after="40"/>
              <w:rPr>
                <w:rFonts w:hint="eastAsia"/>
              </w:rPr>
            </w:pPr>
            <w:r>
              <w:rPr>
                <w:sz w:val="19"/>
              </w:rPr>
              <w:t>Circumvention attack</w:t>
            </w:r>
          </w:p>
        </w:tc>
      </w:tr>
      <w:tr w:rsidR="00796D31" w14:paraId="067F0F59" w14:textId="77777777">
        <w:trPr>
          <w:jc w:val="center"/>
        </w:trPr>
        <w:tc>
          <w:tcPr>
            <w:tcW w:w="4968" w:type="dxa"/>
          </w:tcPr>
          <w:p w14:paraId="10A9E246" w14:textId="77777777" w:rsidR="00796D31" w:rsidRDefault="000F41CF">
            <w:pPr>
              <w:spacing w:after="40"/>
              <w:rPr>
                <w:rFonts w:hint="eastAsia"/>
              </w:rPr>
            </w:pPr>
            <w:r>
              <w:rPr>
                <w:sz w:val="19"/>
              </w:rPr>
              <w:t>Privileged access</w:t>
            </w:r>
          </w:p>
        </w:tc>
        <w:tc>
          <w:tcPr>
            <w:tcW w:w="4968" w:type="dxa"/>
          </w:tcPr>
          <w:p w14:paraId="605A626E" w14:textId="77777777" w:rsidR="00796D31" w:rsidRDefault="000F41CF">
            <w:pPr>
              <w:spacing w:after="40"/>
              <w:rPr>
                <w:rFonts w:hint="eastAsia"/>
              </w:rPr>
            </w:pPr>
            <w:r>
              <w:rPr>
                <w:sz w:val="19"/>
              </w:rPr>
              <w:t>CEO may grant a 48-hour temporary exception. Forty consecutive 48-hour exceptions can become effectively persistent access.</w:t>
            </w:r>
          </w:p>
        </w:tc>
      </w:tr>
      <w:tr w:rsidR="00796D31" w14:paraId="5076F7F8" w14:textId="77777777">
        <w:trPr>
          <w:jc w:val="center"/>
        </w:trPr>
        <w:tc>
          <w:tcPr>
            <w:tcW w:w="4968" w:type="dxa"/>
          </w:tcPr>
          <w:p w14:paraId="537C86B3" w14:textId="77777777" w:rsidR="00796D31" w:rsidRDefault="000F41CF">
            <w:pPr>
              <w:spacing w:after="40"/>
              <w:rPr>
                <w:rFonts w:hint="eastAsia"/>
              </w:rPr>
            </w:pPr>
            <w:r>
              <w:rPr>
                <w:sz w:val="19"/>
              </w:rPr>
              <w:lastRenderedPageBreak/>
              <w:t>Refund</w:t>
            </w:r>
          </w:p>
        </w:tc>
        <w:tc>
          <w:tcPr>
            <w:tcW w:w="4968" w:type="dxa"/>
          </w:tcPr>
          <w:p w14:paraId="6B4851CC" w14:textId="77777777" w:rsidR="00796D31" w:rsidRDefault="000F41CF">
            <w:pPr>
              <w:spacing w:after="40"/>
              <w:rPr>
                <w:rFonts w:hint="eastAsia"/>
              </w:rPr>
            </w:pPr>
            <w:r>
              <w:rPr>
                <w:sz w:val="19"/>
              </w:rPr>
              <w:t>Associate may approve up to $500. Two $450 refunds tied to the same matter could manufacture a $900 consequence.</w:t>
            </w:r>
          </w:p>
        </w:tc>
      </w:tr>
      <w:tr w:rsidR="00796D31" w14:paraId="39F66E2F" w14:textId="77777777">
        <w:trPr>
          <w:jc w:val="center"/>
        </w:trPr>
        <w:tc>
          <w:tcPr>
            <w:tcW w:w="4968" w:type="dxa"/>
          </w:tcPr>
          <w:p w14:paraId="7F13BE7B" w14:textId="77777777" w:rsidR="00796D31" w:rsidRDefault="000F41CF">
            <w:pPr>
              <w:spacing w:after="40"/>
              <w:rPr>
                <w:rFonts w:hint="eastAsia"/>
              </w:rPr>
            </w:pPr>
            <w:r>
              <w:rPr>
                <w:sz w:val="19"/>
              </w:rPr>
              <w:t>Workforce</w:t>
            </w:r>
          </w:p>
        </w:tc>
        <w:tc>
          <w:tcPr>
            <w:tcW w:w="4968" w:type="dxa"/>
          </w:tcPr>
          <w:p w14:paraId="337F6946" w14:textId="77777777" w:rsidR="00796D31" w:rsidRDefault="000F41CF">
            <w:pPr>
              <w:spacing w:after="40"/>
              <w:rPr>
                <w:rFonts w:hint="eastAsia"/>
              </w:rPr>
            </w:pPr>
            <w:r>
              <w:rPr>
                <w:sz w:val="19"/>
              </w:rPr>
              <w:t>Supervisor may approve limited overtime. Repeated individually permissible shifts can exceed the intended weekly cumulative limit.</w:t>
            </w:r>
          </w:p>
        </w:tc>
      </w:tr>
      <w:tr w:rsidR="00796D31" w14:paraId="45E7AAD4" w14:textId="77777777">
        <w:trPr>
          <w:jc w:val="center"/>
        </w:trPr>
        <w:tc>
          <w:tcPr>
            <w:tcW w:w="4968" w:type="dxa"/>
          </w:tcPr>
          <w:p w14:paraId="3DEDCD0D" w14:textId="77777777" w:rsidR="00796D31" w:rsidRDefault="000F41CF">
            <w:pPr>
              <w:spacing w:after="40"/>
              <w:rPr>
                <w:rFonts w:hint="eastAsia"/>
              </w:rPr>
            </w:pPr>
            <w:r>
              <w:rPr>
                <w:sz w:val="19"/>
              </w:rPr>
              <w:t>Account restriction</w:t>
            </w:r>
          </w:p>
        </w:tc>
        <w:tc>
          <w:tcPr>
            <w:tcW w:w="4968" w:type="dxa"/>
          </w:tcPr>
          <w:p w14:paraId="66E04C9A" w14:textId="77777777" w:rsidR="00796D31" w:rsidRDefault="000F41CF">
            <w:pPr>
              <w:spacing w:after="40"/>
              <w:rPr>
                <w:rFonts w:hint="eastAsia"/>
              </w:rPr>
            </w:pPr>
            <w:r>
              <w:rPr>
                <w:sz w:val="19"/>
              </w:rPr>
              <w:t>Supervisor may restrict an account for 24 hours. Repeated 24-hour restrictions can create an effectively indefinite restriction.</w:t>
            </w:r>
          </w:p>
        </w:tc>
      </w:tr>
    </w:tbl>
    <w:p w14:paraId="63915CA8" w14:textId="77777777" w:rsidR="00796D31" w:rsidRDefault="000F41CF">
      <w:pPr>
        <w:spacing w:after="80" w:line="252" w:lineRule="auto"/>
        <w:rPr>
          <w:rFonts w:hint="eastAsia"/>
        </w:rPr>
      </w:pPr>
      <w:r>
        <w:t>Candidate standing dimensions may therefore include per-grant maximum, maximum consecutive renewals, maximum cumulative authority within a period, whether future consecutive exceptions may be preauthorized, and the escalation path once the cumulative boundary is reached.</w:t>
      </w:r>
    </w:p>
    <w:p w14:paraId="5A9C8A79" w14:textId="77777777" w:rsidR="00796D31" w:rsidRDefault="000F41CF">
      <w:pPr>
        <w:pStyle w:val="Heading1"/>
        <w:spacing w:after="80" w:line="252" w:lineRule="auto"/>
      </w:pPr>
      <w:r>
        <w:t>Candidate falsification tests</w:t>
      </w:r>
    </w:p>
    <w:p w14:paraId="42791DF2" w14:textId="77777777" w:rsidR="00796D31" w:rsidRDefault="000F41CF">
      <w:pPr>
        <w:pStyle w:val="ListNumber"/>
        <w:spacing w:after="80" w:line="252" w:lineRule="auto"/>
        <w:rPr>
          <w:rFonts w:hint="eastAsia"/>
        </w:rPr>
      </w:pPr>
      <w:r>
        <w:t>Grantor causality: hold all other inputs constant and change only the decision actor. Only the actor with sufficient standing should be able to create executable authority.</w:t>
      </w:r>
    </w:p>
    <w:p w14:paraId="3B7EAC86" w14:textId="77777777" w:rsidR="00796D31" w:rsidRDefault="000F41CF">
      <w:pPr>
        <w:pStyle w:val="ListNumber"/>
        <w:spacing w:after="80" w:line="252" w:lineRule="auto"/>
        <w:rPr>
          <w:rFonts w:hint="eastAsia"/>
        </w:rPr>
      </w:pPr>
      <w:r>
        <w:t>Scope boundary: hold the actor constant and cross a monetary, duration, risk, access-class, or consequence boundary. Standing should flip when the proposed authority exceeds the actor’s delegated scope.</w:t>
      </w:r>
    </w:p>
    <w:p w14:paraId="05AD61D5" w14:textId="77777777" w:rsidR="00796D31" w:rsidRDefault="000F41CF">
      <w:pPr>
        <w:pStyle w:val="ListNumber"/>
        <w:spacing w:after="80" w:line="252" w:lineRule="auto"/>
        <w:rPr>
          <w:rFonts w:hint="eastAsia"/>
        </w:rPr>
      </w:pPr>
      <w:r>
        <w:t>Conditional standing: hold actor and scope constant, change only the required condition. Authority creation should depend on the condition where the organization has made it part of standing.</w:t>
      </w:r>
    </w:p>
    <w:p w14:paraId="678ED0FD" w14:textId="77777777" w:rsidR="00796D31" w:rsidRDefault="000F41CF">
      <w:pPr>
        <w:pStyle w:val="ListNumber"/>
        <w:spacing w:after="80" w:line="252" w:lineRule="auto"/>
        <w:rPr>
          <w:rFonts w:hint="eastAsia"/>
        </w:rPr>
      </w:pPr>
      <w:r>
        <w:t>Exceptional path: an actor outside the ordinary chain should create authority only when a separately defined exceptional standing boundary applies.</w:t>
      </w:r>
    </w:p>
    <w:p w14:paraId="6CF464FB" w14:textId="77777777" w:rsidR="00796D31" w:rsidRDefault="000F41CF">
      <w:pPr>
        <w:pStyle w:val="ListNumber"/>
        <w:spacing w:after="80" w:line="252" w:lineRule="auto"/>
        <w:rPr>
          <w:rFonts w:hint="eastAsia"/>
        </w:rPr>
      </w:pPr>
      <w:r>
        <w:t>Cumulative circumvention: test whether repeated or decomposed individually valid grants can manufacture an authority state the grantor could not authorize directly.</w:t>
      </w:r>
    </w:p>
    <w:p w14:paraId="76D2E0AD" w14:textId="77777777" w:rsidR="00796D31" w:rsidRDefault="000F41CF">
      <w:pPr>
        <w:pStyle w:val="ListNumber"/>
        <w:spacing w:after="80" w:line="252" w:lineRule="auto"/>
        <w:rPr>
          <w:rFonts w:hint="eastAsia"/>
        </w:rPr>
      </w:pPr>
      <w:r>
        <w:t>Wrong-basis attack: test whether a standing boundary can be faithfully enforced over the wrong organizational metric, analogous to the Version 2 procurement problem.</w:t>
      </w:r>
    </w:p>
    <w:p w14:paraId="1302317B" w14:textId="77777777" w:rsidR="00796D31" w:rsidRDefault="000F41CF">
      <w:pPr>
        <w:pStyle w:val="Heading1"/>
        <w:spacing w:after="80" w:line="252" w:lineRule="auto"/>
      </w:pPr>
      <w:r>
        <w:t>Questions deliberately parked</w:t>
      </w:r>
    </w:p>
    <w:p w14:paraId="5630ED0F" w14:textId="77777777" w:rsidR="00796D31" w:rsidRDefault="000F41CF">
      <w:pPr>
        <w:pStyle w:val="ListBullet"/>
        <w:spacing w:after="80" w:line="252" w:lineRule="auto"/>
        <w:rPr>
          <w:rFonts w:hint="eastAsia"/>
        </w:rPr>
      </w:pPr>
      <w:r>
        <w:t>How many organizational layers should a real enterprise model contain? No fixed number is proposed.</w:t>
      </w:r>
    </w:p>
    <w:p w14:paraId="2E034D30" w14:textId="77777777" w:rsidR="00796D31" w:rsidRDefault="000F41CF">
      <w:pPr>
        <w:pStyle w:val="ListBullet"/>
        <w:spacing w:after="80" w:line="252" w:lineRule="auto"/>
        <w:rPr>
          <w:rFonts w:hint="eastAsia"/>
        </w:rPr>
      </w:pPr>
      <w:r>
        <w:t>How should conflicting legitimate authorities be resolved? Do not build a general conflict-resolution engine unless a later experiment requires it.</w:t>
      </w:r>
    </w:p>
    <w:p w14:paraId="4FB50420" w14:textId="77777777" w:rsidR="00796D31" w:rsidRDefault="000F41CF">
      <w:pPr>
        <w:pStyle w:val="ListBullet"/>
        <w:spacing w:after="80" w:line="252" w:lineRule="auto"/>
        <w:rPr>
          <w:rFonts w:hint="eastAsia"/>
        </w:rPr>
      </w:pPr>
      <w:r>
        <w:t>How should standing itself be delegated recursively? At some point authority-to-create-authority must terminate in an explicitly declared organizational authority root rather than being derived by the system from itself.</w:t>
      </w:r>
    </w:p>
    <w:p w14:paraId="6E6C29B9" w14:textId="77777777" w:rsidR="00796D31" w:rsidRDefault="000F41CF">
      <w:pPr>
        <w:pStyle w:val="ListBullet"/>
        <w:spacing w:after="80" w:line="252" w:lineRule="auto"/>
        <w:rPr>
          <w:rFonts w:hint="eastAsia"/>
        </w:rPr>
      </w:pPr>
      <w:r>
        <w:t>Should V3 include org charts, committees, broad executive rank, or recursive delegation graphs? Not unless required to make the research question falsifiable.</w:t>
      </w:r>
    </w:p>
    <w:p w14:paraId="46897FD7" w14:textId="77777777" w:rsidR="00796D31" w:rsidRDefault="000F41CF">
      <w:pPr>
        <w:pStyle w:val="Heading1"/>
        <w:spacing w:after="80" w:line="252" w:lineRule="auto"/>
      </w:pPr>
      <w:r>
        <w:t>Sequencing discipline: V2 first</w:t>
      </w:r>
    </w:p>
    <w:p w14:paraId="23FA28A9" w14:textId="77777777" w:rsidR="00796D31" w:rsidRDefault="000F41CF">
      <w:pPr>
        <w:spacing w:after="80" w:line="252" w:lineRule="auto"/>
        <w:rPr>
          <w:rFonts w:hint="eastAsia"/>
        </w:rPr>
      </w:pPr>
      <w:r>
        <w:t>Wojciech’s latest position is accepted as the governing sequencing principle for this note:</w:t>
      </w:r>
    </w:p>
    <w:p w14:paraId="4EF68ECB" w14:textId="77777777" w:rsidR="00796D31" w:rsidRDefault="000F41CF">
      <w:pPr>
        <w:spacing w:after="80" w:line="252" w:lineRule="auto"/>
        <w:ind w:left="504" w:right="504"/>
        <w:rPr>
          <w:rFonts w:hint="eastAsia"/>
        </w:rPr>
      </w:pPr>
      <w:r>
        <w:rPr>
          <w:i/>
        </w:rPr>
        <w:t>“V3 should earn the right to exist by surviving what V2 cannot explain… V2 first. No rescue from V3.”</w:t>
      </w:r>
    </w:p>
    <w:p w14:paraId="63D0F2D0" w14:textId="77777777" w:rsidR="00796D31" w:rsidRDefault="000F41CF">
      <w:pPr>
        <w:spacing w:after="80" w:line="252" w:lineRule="auto"/>
        <w:rPr>
          <w:rFonts w:hint="eastAsia"/>
        </w:rPr>
      </w:pPr>
      <w:r>
        <w:t>Accordingly, Version 2 should first be attacked on whether its enforceable boundary is genuinely causal, whether authority can become stale before execution, whether apparently equivalent authority states hide execution-relevant differences, and whether the model can distinguish why execution was blocked. If Version 2 breaks on those terms, the response is to diagnose Version 2, not to introduce the parked Version 3 concepts above as a rescue.</w:t>
      </w:r>
    </w:p>
    <w:p w14:paraId="61FFF312" w14:textId="77777777" w:rsidR="00796D31" w:rsidRDefault="000F41CF">
      <w:pPr>
        <w:pStyle w:val="Heading1"/>
        <w:spacing w:after="80" w:line="252" w:lineRule="auto"/>
      </w:pPr>
      <w:r>
        <w:lastRenderedPageBreak/>
        <w:t>Criteria for reviving this note</w:t>
      </w:r>
    </w:p>
    <w:p w14:paraId="331CEDC1" w14:textId="77777777" w:rsidR="00796D31" w:rsidRDefault="000F41CF">
      <w:pPr>
        <w:spacing w:after="80" w:line="252" w:lineRule="auto"/>
        <w:rPr>
          <w:rFonts w:hint="eastAsia"/>
        </w:rPr>
      </w:pPr>
      <w:r>
        <w:t>This research note should be reopened only after the current Version 2 adversarial review is complete. A Version 3 should be authorized only if:</w:t>
      </w:r>
    </w:p>
    <w:p w14:paraId="77D9D462" w14:textId="77777777" w:rsidR="00796D31" w:rsidRDefault="000F41CF">
      <w:pPr>
        <w:pStyle w:val="ListBullet"/>
        <w:spacing w:after="80" w:line="252" w:lineRule="auto"/>
        <w:rPr>
          <w:rFonts w:hint="eastAsia"/>
        </w:rPr>
      </w:pPr>
      <w:r>
        <w:t>Version 2’s execution-control layer is sufficiently stable to justify moving one causal step upstream;</w:t>
      </w:r>
    </w:p>
    <w:p w14:paraId="7AB5BA8B" w14:textId="77777777" w:rsidR="00796D31" w:rsidRDefault="000F41CF">
      <w:pPr>
        <w:pStyle w:val="ListBullet"/>
        <w:spacing w:after="80" w:line="252" w:lineRule="auto"/>
        <w:rPr>
          <w:rFonts w:hint="eastAsia"/>
        </w:rPr>
      </w:pPr>
      <w:r>
        <w:t>the authority-to-authorize question remains materially unresolved after V2 review;</w:t>
      </w:r>
    </w:p>
    <w:p w14:paraId="28C26BF2" w14:textId="77777777" w:rsidR="00796D31" w:rsidRDefault="000F41CF">
      <w:pPr>
        <w:pStyle w:val="ListBullet"/>
        <w:spacing w:after="80" w:line="252" w:lineRule="auto"/>
        <w:rPr>
          <w:rFonts w:hint="eastAsia"/>
        </w:rPr>
      </w:pPr>
      <w:r>
        <w:t>the proposed standing mechanism introduces a genuinely new falsifiable proposition rather than merely adding product functionality;</w:t>
      </w:r>
    </w:p>
    <w:p w14:paraId="45B3E9B9" w14:textId="77777777" w:rsidR="00796D31" w:rsidRDefault="000F41CF">
      <w:pPr>
        <w:pStyle w:val="ListBullet"/>
        <w:spacing w:after="80" w:line="252" w:lineRule="auto"/>
        <w:rPr>
          <w:rFonts w:hint="eastAsia"/>
        </w:rPr>
      </w:pPr>
      <w:r>
        <w:t>the experiment can remain small enough to distinguish standing, scope, conditions, exceptional authority, and cumulative effects without becoming an organizational simulation.</w:t>
      </w:r>
    </w:p>
    <w:sectPr w:rsidR="00796D3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71DFDD" w14:textId="77777777" w:rsidR="000F41CF" w:rsidRDefault="000F41CF">
      <w:pPr>
        <w:spacing w:after="0" w:line="240" w:lineRule="auto"/>
        <w:rPr>
          <w:rFonts w:hint="eastAsia"/>
        </w:rPr>
      </w:pPr>
      <w:r>
        <w:separator/>
      </w:r>
    </w:p>
  </w:endnote>
  <w:endnote w:type="continuationSeparator" w:id="0">
    <w:p w14:paraId="336C9128" w14:textId="77777777" w:rsidR="000F41CF" w:rsidRDefault="000F41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9B94E" w14:textId="77777777" w:rsidR="00796D31" w:rsidRDefault="000F41CF">
    <w:pPr>
      <w:pStyle w:val="Footer"/>
      <w:jc w:val="center"/>
      <w:rPr>
        <w:rFonts w:hint="eastAsia"/>
      </w:rPr>
    </w:pPr>
    <w:r>
      <w:rPr>
        <w:color w:val="646464"/>
        <w:sz w:val="16"/>
      </w:rPr>
      <w:t>Operational AI Authority Test Harness — Candidate V3 Research Note — PARKED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E26D2E" w14:textId="77777777" w:rsidR="000F41CF" w:rsidRDefault="000F41CF">
      <w:pPr>
        <w:spacing w:after="0" w:line="240" w:lineRule="auto"/>
        <w:rPr>
          <w:rFonts w:hint="eastAsia"/>
        </w:rPr>
      </w:pPr>
      <w:r>
        <w:separator/>
      </w:r>
    </w:p>
  </w:footnote>
  <w:footnote w:type="continuationSeparator" w:id="0">
    <w:p w14:paraId="70019F89" w14:textId="77777777" w:rsidR="000F41CF" w:rsidRDefault="000F41C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476556">
    <w:abstractNumId w:val="8"/>
  </w:num>
  <w:num w:numId="2" w16cid:durableId="1347364545">
    <w:abstractNumId w:val="6"/>
  </w:num>
  <w:num w:numId="3" w16cid:durableId="1989281587">
    <w:abstractNumId w:val="5"/>
  </w:num>
  <w:num w:numId="4" w16cid:durableId="563181145">
    <w:abstractNumId w:val="4"/>
  </w:num>
  <w:num w:numId="5" w16cid:durableId="1187672969">
    <w:abstractNumId w:val="7"/>
  </w:num>
  <w:num w:numId="6" w16cid:durableId="103810939">
    <w:abstractNumId w:val="3"/>
  </w:num>
  <w:num w:numId="7" w16cid:durableId="1737319854">
    <w:abstractNumId w:val="2"/>
  </w:num>
  <w:num w:numId="8" w16cid:durableId="1526823450">
    <w:abstractNumId w:val="1"/>
  </w:num>
  <w:num w:numId="9" w16cid:durableId="17543578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1CF"/>
    <w:rsid w:val="0015074B"/>
    <w:rsid w:val="0029639D"/>
    <w:rsid w:val="00326F90"/>
    <w:rsid w:val="004C3E01"/>
    <w:rsid w:val="00796D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2D419"/>
  <w14:defaultImageDpi w14:val="300"/>
  <w15:docId w15:val="{9C24F0D7-1852-F144-B972-A9F75C5B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Newsome</cp:lastModifiedBy>
  <cp:revision>2</cp:revision>
  <dcterms:created xsi:type="dcterms:W3CDTF">2026-08-30T16:28:00Z</dcterms:created>
  <dcterms:modified xsi:type="dcterms:W3CDTF">2026-08-30T16:28:00Z</dcterms:modified>
  <cp:category/>
</cp:coreProperties>
</file>