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C54DFD" w14:textId="77777777" w:rsidR="00971318" w:rsidRDefault="005E381D">
      <w:pPr>
        <w:pStyle w:val="Title"/>
      </w:pPr>
      <w:r>
        <w:t>Provenance and Collaboration Record</w:t>
      </w:r>
    </w:p>
    <w:p w14:paraId="0A4DD57B" w14:textId="77777777" w:rsidR="00971318" w:rsidRDefault="005E381D">
      <w:r>
        <w:rPr>
          <w:b/>
        </w:rPr>
        <w:t xml:space="preserve">Context: </w:t>
      </w:r>
      <w:r>
        <w:t>Operational AI Authority Test Harness — public research and external challenge process</w:t>
      </w:r>
    </w:p>
    <w:p w14:paraId="670378D1" w14:textId="77777777" w:rsidR="00971318" w:rsidRDefault="005E381D">
      <w:pPr>
        <w:pStyle w:val="Heading1"/>
      </w:pPr>
      <w:r>
        <w:t>Purpose</w:t>
      </w:r>
    </w:p>
    <w:p w14:paraId="0B3EDF6B" w14:textId="77777777" w:rsidR="00971318" w:rsidRDefault="005E381D">
      <w:r>
        <w:t>Preserve the provenance principle articulated by Wojciech during discussion of the public harness, so future documentation, publication, attribution, and research records distinguish original work, external challenge, and genuinely joint development accurately.</w:t>
      </w:r>
    </w:p>
    <w:tbl>
      <w:tblPr>
        <w:tblW w:w="0" w:type="auto"/>
        <w:tblLayout w:type="fixed"/>
        <w:tblLook w:val="04A0" w:firstRow="1" w:lastRow="0" w:firstColumn="1" w:lastColumn="0" w:noHBand="0" w:noVBand="1"/>
      </w:tblPr>
      <w:tblGrid>
        <w:gridCol w:w="9936"/>
      </w:tblGrid>
      <w:tr w:rsidR="00971318" w14:paraId="62E3C93F" w14:textId="77777777">
        <w:tc>
          <w:tcPr>
            <w:tcW w:w="9936" w:type="dxa"/>
            <w:shd w:val="clear" w:color="auto" w:fill="EAF2F8"/>
          </w:tcPr>
          <w:p w14:paraId="060DB828" w14:textId="77777777" w:rsidR="00971318" w:rsidRDefault="005E381D">
            <w:r>
              <w:rPr>
                <w:b/>
              </w:rPr>
              <w:t>Provenance principle</w:t>
            </w:r>
          </w:p>
          <w:p w14:paraId="575E976B" w14:textId="77777777" w:rsidR="00971318" w:rsidRDefault="005E381D">
            <w:pPr>
              <w:spacing w:after="0"/>
            </w:pPr>
            <w:r>
              <w:t>Kelly’s work and conclusions remain Kelly’s. Wojciech’s challenges remain challenges unless explicitly agreed otherwise. Anything genuinely developed together should be described as such rather than retrospectively assigned to either person.</w:t>
            </w:r>
          </w:p>
        </w:tc>
      </w:tr>
    </w:tbl>
    <w:p w14:paraId="57AC6CDF" w14:textId="77777777" w:rsidR="00971318" w:rsidRDefault="00971318"/>
    <w:p w14:paraId="0CD991F0" w14:textId="77777777" w:rsidR="00971318" w:rsidRDefault="005E381D">
      <w:pPr>
        <w:pStyle w:val="Heading1"/>
      </w:pPr>
      <w:r>
        <w:t>Working interpretation</w:t>
      </w:r>
    </w:p>
    <w:p w14:paraId="11C05F62" w14:textId="77777777" w:rsidR="00971318" w:rsidRDefault="005E381D">
      <w:pPr>
        <w:pStyle w:val="ListBullet"/>
      </w:pPr>
      <w:r>
        <w:t>Kelly retains ownership and authorship of the conceptual model, project decisions, implementation choices, conclusions, and published claims that are his work.</w:t>
      </w:r>
    </w:p>
    <w:p w14:paraId="1C17F91D" w14:textId="77777777" w:rsidR="00971318" w:rsidRDefault="005E381D">
      <w:pPr>
        <w:pStyle w:val="ListBullet"/>
      </w:pPr>
      <w:r>
        <w:t>Wojciech’s questions, attacks, critiques, and proposed falsification tests should be attributed to him as external challenges unless both parties explicitly develop a resulting concept together.</w:t>
      </w:r>
    </w:p>
    <w:p w14:paraId="5EBC7E16" w14:textId="77777777" w:rsidR="00971318" w:rsidRDefault="005E381D">
      <w:pPr>
        <w:pStyle w:val="ListBullet"/>
      </w:pPr>
      <w:r>
        <w:t>Ideas that materially emerge through back-and-forth development should be described as jointly developed only where that is factually accurate.</w:t>
      </w:r>
    </w:p>
    <w:p w14:paraId="003E06CF" w14:textId="77777777" w:rsidR="00971318" w:rsidRDefault="005E381D">
      <w:pPr>
        <w:pStyle w:val="ListBullet"/>
      </w:pPr>
      <w:r>
        <w:t>AI assistance used to translate concepts into code, tests, documentation, and analysis should be disclosed where relevant, but does not by itself reassign authorship of the underlying conceptual questions or project claims.</w:t>
      </w:r>
    </w:p>
    <w:p w14:paraId="6697ED7E" w14:textId="77777777" w:rsidR="00971318" w:rsidRDefault="005E381D">
      <w:pPr>
        <w:pStyle w:val="ListBullet"/>
      </w:pPr>
      <w:r>
        <w:t>External critique should not be retrospectively absorbed into the project history as though it originated internally.</w:t>
      </w:r>
    </w:p>
    <w:p w14:paraId="6D7EE0C0" w14:textId="77777777" w:rsidR="00971318" w:rsidRDefault="005E381D">
      <w:pPr>
        <w:pStyle w:val="ListBullet"/>
      </w:pPr>
      <w:r>
        <w:t>Project records should preserve inconvenient results, disagreements, and unresolved questions rather than overwrite provenance to create a cleaner narrative.</w:t>
      </w:r>
    </w:p>
    <w:p w14:paraId="37811625" w14:textId="77777777" w:rsidR="00971318" w:rsidRDefault="005E381D">
      <w:pPr>
        <w:pStyle w:val="Heading1"/>
      </w:pPr>
      <w:r>
        <w:t>Why this matters</w:t>
      </w:r>
    </w:p>
    <w:p w14:paraId="6E3B4E99" w14:textId="77777777" w:rsidR="00971318" w:rsidRDefault="005E381D">
      <w:r>
        <w:t>The harness is intended to make assumptions inspectable and claims falsifiable. Provenance should follow the same standard. A public research record is stronger when readers can distinguish who proposed a claim, who challenged it, what was actually demonstrated, and what remained unresolved.</w:t>
      </w:r>
    </w:p>
    <w:p w14:paraId="74433685" w14:textId="77777777" w:rsidR="00971318" w:rsidRDefault="005E381D">
      <w:pPr>
        <w:pStyle w:val="Heading1"/>
      </w:pPr>
      <w:r>
        <w:t>Professional context noted by reviewer</w:t>
      </w:r>
    </w:p>
    <w:p w14:paraId="518F7E95" w14:textId="77777777" w:rsidR="00971318" w:rsidRDefault="005E381D">
      <w:r>
        <w:t>Wojciech explicitly rejected treating the value of the exchange as a comparison of formal educational or technical credentials. He characterized the exchange as different kinds of coverage applied to the same problem, and identified problem definition, separation of easily blurred claims, falsifiability, and willingness to preserve inconvenient results as substantive contributions to the work.</w:t>
      </w:r>
    </w:p>
    <w:p w14:paraId="08F7F41F" w14:textId="77777777" w:rsidR="00971318" w:rsidRDefault="005E381D">
      <w:pPr>
        <w:pStyle w:val="Heading1"/>
      </w:pPr>
      <w:r>
        <w:lastRenderedPageBreak/>
        <w:t>Use in future publications and repository records</w:t>
      </w:r>
    </w:p>
    <w:p w14:paraId="2B5D0282" w14:textId="77777777" w:rsidR="00971318" w:rsidRDefault="005E381D">
      <w:pPr>
        <w:pStyle w:val="ListBullet"/>
      </w:pPr>
      <w:r>
        <w:t>When citing Wojciech’s attacks on V2, label them as external adversarial challenges or reviewer findings.</w:t>
      </w:r>
    </w:p>
    <w:p w14:paraId="2A360660" w14:textId="77777777" w:rsidR="00971318" w:rsidRDefault="005E381D">
      <w:pPr>
        <w:pStyle w:val="ListBullet"/>
      </w:pPr>
      <w:r>
        <w:t>When describing concepts that emerge from the exchange, distinguish between Kelly’s pre-existing framework, Wojciech’s challenge, and any genuinely joint refinement.</w:t>
      </w:r>
    </w:p>
    <w:p w14:paraId="759F5FD9" w14:textId="77777777" w:rsidR="00971318" w:rsidRDefault="005E381D">
      <w:pPr>
        <w:pStyle w:val="ListBullet"/>
      </w:pPr>
      <w:r>
        <w:t>Do not characterize a challenge as an endorsed project conclusion unless adjudication supports it.</w:t>
      </w:r>
    </w:p>
    <w:p w14:paraId="7E2CF2E7" w14:textId="77777777" w:rsidR="00971318" w:rsidRDefault="005E381D">
      <w:pPr>
        <w:pStyle w:val="ListBullet"/>
      </w:pPr>
      <w:r>
        <w:t>Do not characterize project conclusions as Wojciech’s unless he explicitly adopts them.</w:t>
      </w:r>
    </w:p>
    <w:p w14:paraId="1D6F777D" w14:textId="77777777" w:rsidR="00971318" w:rsidRDefault="005E381D">
      <w:pPr>
        <w:pStyle w:val="ListBullet"/>
      </w:pPr>
      <w:r>
        <w:t>Where uncertainty exists, prefer a narrow provenance statement over an expansive attribution claim.</w:t>
      </w:r>
    </w:p>
    <w:p w14:paraId="5847BBB8" w14:textId="77777777" w:rsidR="00971318" w:rsidRDefault="005E381D">
      <w:pPr>
        <w:pStyle w:val="Heading1"/>
      </w:pPr>
      <w:r>
        <w:t>Status</w:t>
      </w:r>
    </w:p>
    <w:p w14:paraId="52F95C5B" w14:textId="77777777" w:rsidR="00971318" w:rsidRDefault="005E381D">
      <w:r>
        <w:t>This record governs attribution discipline for the ongoing V2 external review and any later discussion of candidate Version 3 research questions. It is a provenance note, not a transfer of ownership, authorship, or decision authority.</w:t>
      </w:r>
    </w:p>
    <w:sectPr w:rsidR="00971318"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50EDBA" w14:textId="77777777" w:rsidR="005E381D" w:rsidRDefault="005E381D">
      <w:pPr>
        <w:spacing w:after="0" w:line="240" w:lineRule="auto"/>
      </w:pPr>
      <w:r>
        <w:separator/>
      </w:r>
    </w:p>
  </w:endnote>
  <w:endnote w:type="continuationSeparator" w:id="0">
    <w:p w14:paraId="6E5429A9" w14:textId="77777777" w:rsidR="005E381D" w:rsidRDefault="005E3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343504" w14:textId="77777777" w:rsidR="00971318" w:rsidRDefault="005E381D">
    <w:pPr>
      <w:pStyle w:val="Footer"/>
      <w:jc w:val="center"/>
    </w:pPr>
    <w:r>
      <w:rPr>
        <w:color w:val="6E6E6E"/>
        <w:sz w:val="16"/>
      </w:rPr>
      <w:t>Operational AI Authority Test Harness — Research Record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58754B" w14:textId="77777777" w:rsidR="005E381D" w:rsidRDefault="005E381D">
      <w:pPr>
        <w:spacing w:after="0" w:line="240" w:lineRule="auto"/>
      </w:pPr>
      <w:r>
        <w:separator/>
      </w:r>
    </w:p>
  </w:footnote>
  <w:footnote w:type="continuationSeparator" w:id="0">
    <w:p w14:paraId="22D323E4" w14:textId="77777777" w:rsidR="005E381D" w:rsidRDefault="005E38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A723C0" w14:textId="77777777" w:rsidR="00971318" w:rsidRDefault="005E381D">
    <w:pPr>
      <w:pStyle w:val="Header"/>
      <w:jc w:val="right"/>
    </w:pPr>
    <w:r>
      <w:rPr>
        <w:color w:val="5A5A5A"/>
        <w:sz w:val="16"/>
      </w:rPr>
      <w:t>PROJECT PROVENANCE / COLLABORATION RULE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7480295">
    <w:abstractNumId w:val="8"/>
  </w:num>
  <w:num w:numId="2" w16cid:durableId="904142837">
    <w:abstractNumId w:val="6"/>
  </w:num>
  <w:num w:numId="3" w16cid:durableId="1201625584">
    <w:abstractNumId w:val="5"/>
  </w:num>
  <w:num w:numId="4" w16cid:durableId="494103102">
    <w:abstractNumId w:val="4"/>
  </w:num>
  <w:num w:numId="5" w16cid:durableId="802580105">
    <w:abstractNumId w:val="7"/>
  </w:num>
  <w:num w:numId="6" w16cid:durableId="579145475">
    <w:abstractNumId w:val="3"/>
  </w:num>
  <w:num w:numId="7" w16cid:durableId="809396147">
    <w:abstractNumId w:val="2"/>
  </w:num>
  <w:num w:numId="8" w16cid:durableId="980773559">
    <w:abstractNumId w:val="1"/>
  </w:num>
  <w:num w:numId="9" w16cid:durableId="72046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2"/>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381D"/>
    <w:rsid w:val="006435A7"/>
    <w:rsid w:val="009713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7C25B8"/>
  <w14:defaultImageDpi w14:val="300"/>
  <w15:docId w15:val="{663AC2A7-1714-9F4C-878B-EDF236FF8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Kelly Newsome</cp:lastModifiedBy>
  <cp:revision>2</cp:revision>
  <dcterms:created xsi:type="dcterms:W3CDTF">2026-08-30T18:15:00Z</dcterms:created>
  <dcterms:modified xsi:type="dcterms:W3CDTF">2026-08-30T18:15:00Z</dcterms:modified>
  <cp:category/>
</cp:coreProperties>
</file>