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Claude V2 Final Adversarial Review Record</w:t>
      </w:r>
    </w:p>
    <w:p>
      <w:pPr>
        <w:jc w:val="center"/>
      </w:pPr>
      <w:r>
        <w:rPr>
          <w:b/>
          <w:sz w:val="24"/>
        </w:rPr>
        <w:t>Operational AI Authority Test Harness — Version 2.0.0</w:t>
      </w:r>
    </w:p>
    <w:p>
      <w:pPr>
        <w:jc w:val="center"/>
      </w:pPr>
      <w:r>
        <w:rPr>
          <w:i/>
          <w:sz w:val="21"/>
        </w:rPr>
        <w:t>Preservation, adjudication context, and relationship to later external attacks</w:t>
      </w:r>
    </w:p>
    <w:tbl>
      <w:tblPr>
        <w:tblW w:type="auto" w:w="0"/>
        <w:jc w:val="center"/>
        <w:tblLayout w:type="fixed"/>
        <w:tblLook w:firstColumn="1" w:firstRow="1" w:lastColumn="0" w:lastRow="0" w:noHBand="0" w:noVBand="1" w:val="04A0"/>
      </w:tblPr>
      <w:tblGrid>
        <w:gridCol w:w="9648"/>
      </w:tblGrid>
      <w:tr>
        <w:tc>
          <w:tcPr>
            <w:tcW w:type="dxa" w:w="9936"/>
            <w:shd w:fill="EAF2F8"/>
            <w:tcMar>
              <w:top w:w="180" w:type="dxa"/>
              <w:start w:w="180" w:type="dxa"/>
              <w:bottom w:w="180" w:type="dxa"/>
              <w:end w:w="180" w:type="dxa"/>
            </w:tcMar>
          </w:tcPr>
          <w:p>
            <w:r>
              <w:rPr>
                <w:b/>
                <w:color w:val="17324D"/>
              </w:rPr>
              <w:t>STATUS</w:t>
            </w:r>
            <w:r>
              <w:br/>
              <w:t>Historical evidence record. V2 remains frozen while Wojciech’s independent adversarial review is in progress. This document does not authorize remediation or alter the released V2.0.0 artifact.</w:t>
            </w:r>
          </w:p>
        </w:tc>
      </w:tr>
    </w:tbl>
    <w:p>
      <w:pPr>
        <w:pStyle w:val="Heading1"/>
      </w:pPr>
      <w:r>
        <w:t>1. Purpose</w:t>
      </w:r>
    </w:p>
    <w:p>
      <w:r>
        <w:t>This record preserves the final Claude adversarial review that was run against the public Version 2.0.0 deployment as a last-minute check after the earlier Claude findings had already been adjudicated and remediated. It also records why this final review was not subjected to the same immediate repository-level adjudication workflow as the earlier Claude rounds, and identifies the points of convergence between Claude’s findings and Wojciech’s later independent attack of frozen V2.</w:t>
      </w:r>
    </w:p>
    <w:p>
      <w:r>
        <w:t>The final Claude review remains useful evidence even though it did not execute the literal full Cartesian test space requested. It exercised all declared categorical options at least once, executed 109 browser cases, and reported 103 PASS, 4 REVIEW REQUIRED, and 2 FAIL-IMPLEMENTATION results. Its own report explicitly disclosed the unexecuted portions of the requested matrix rather than claiming full combinatorial exhaustiveness.</w:t>
      </w:r>
    </w:p>
    <w:p>
      <w:pPr>
        <w:pStyle w:val="Heading1"/>
      </w:pPr>
      <w:r>
        <w:t>2. Why the final Claude review was not fully adjudicated before V2 was frozen</w:t>
      </w:r>
    </w:p>
    <w:p>
      <w:r>
        <w:t>This final Claude run occurred late in the V2 closure process, after the major earlier Claude findings had been source-adjudicated, remediated where appropriate, regression-tested, released as v2.0.0, and documented. The handoff summary read as broadly positive — “PASS WITH CONCERNS,” 103 PASS cases, no unauthorized ALLOW with zero executable authority, and no conceptual collapse of the model.</w:t>
      </w:r>
    </w:p>
    <w:p>
      <w:r>
        <w:t>Because the review was performed at the end of a long testing session and was read in a fatigued state, the headline result was initially treated as confirmation that V2 remained broadly sound. The five deliverables were pasted into the working discussion, but they were not immediately moved into the repository evidence structure or subjected to the same systematic source-adjudication process used for the earlier Claude review.</w:t>
      </w:r>
    </w:p>
    <w:p>
      <w:r>
        <w:t>That was a process oversight, not a reason to discount the evidence. The correct treatment is to preserve the final Claude artifacts unchanged, record their disclosed coverage limits, and adjudicate their findings after the currently frozen V2 adversarial review is complete. No retroactive change should be made to the evidence or to the fact that V2.0.0 was already frozen when the final Claude review was reconsidered in detail.</w:t>
      </w:r>
    </w:p>
    <w:p>
      <w:pPr>
        <w:pStyle w:val="Heading1"/>
      </w:pPr>
      <w:r>
        <w:t>3. What Claude actually established</w:t>
      </w:r>
    </w:p>
    <w:tbl>
      <w:tblPr>
        <w:tblStyle w:val="TableGrid"/>
        <w:tblW w:type="auto" w:w="0"/>
        <w:jc w:val="center"/>
        <w:tblLayout w:type="fixed"/>
        <w:tblLook w:firstColumn="1" w:firstRow="1" w:lastColumn="0" w:lastRow="0" w:noHBand="0" w:noVBand="1" w:val="04A0"/>
      </w:tblPr>
      <w:tblGrid>
        <w:gridCol w:w="2952"/>
        <w:gridCol w:w="6696"/>
      </w:tblGrid>
      <w:tr>
        <w:trPr>
          <w:tblHeader w:val="true"/>
        </w:trPr>
        <w:tc>
          <w:tcPr>
            <w:tcW w:type="dxa" w:w="4968"/>
            <w:shd w:fill="D9EAF7"/>
            <w:tcMar>
              <w:top w:w="120" w:type="dxa"/>
              <w:start w:w="140" w:type="dxa"/>
              <w:bottom w:w="120" w:type="dxa"/>
              <w:end w:w="140" w:type="dxa"/>
            </w:tcMar>
            <w:vAlign w:val="center"/>
          </w:tcPr>
          <w:p>
            <w:r>
              <w:rPr>
                <w:b/>
              </w:rPr>
              <w:t>Area</w:t>
            </w:r>
          </w:p>
        </w:tc>
        <w:tc>
          <w:tcPr>
            <w:tcW w:type="dxa" w:w="4968"/>
            <w:shd w:fill="D9EAF7"/>
            <w:tcMar>
              <w:top w:w="120" w:type="dxa"/>
              <w:start w:w="140" w:type="dxa"/>
              <w:bottom w:w="120" w:type="dxa"/>
              <w:end w:w="140" w:type="dxa"/>
            </w:tcMar>
            <w:vAlign w:val="center"/>
          </w:tcPr>
          <w:p>
            <w:r>
              <w:rPr>
                <w:b/>
              </w:rPr>
              <w:t>Claude final result</w:t>
            </w:r>
          </w:p>
        </w:tc>
      </w:tr>
      <w:tr>
        <w:tc>
          <w:tcPr>
            <w:tcW w:type="dxa" w:w="2952"/>
            <w:tcMar>
              <w:top w:w="120" w:type="dxa"/>
              <w:start w:w="140" w:type="dxa"/>
              <w:bottom w:w="120" w:type="dxa"/>
              <w:end w:w="140" w:type="dxa"/>
            </w:tcMar>
            <w:vAlign w:val="center"/>
          </w:tcPr>
          <w:p>
            <w:r>
              <w:t>Deployment identity</w:t>
            </w:r>
          </w:p>
        </w:tc>
        <w:tc>
          <w:tcPr>
            <w:tcW w:type="dxa" w:w="6696"/>
            <w:tcMar>
              <w:top w:w="120" w:type="dxa"/>
              <w:start w:w="140" w:type="dxa"/>
              <w:bottom w:w="120" w:type="dxa"/>
              <w:end w:w="140" w:type="dxa"/>
            </w:tcMar>
            <w:vAlign w:val="center"/>
          </w:tcPr>
          <w:p>
            <w:r>
              <w:t>Passed. Claude confirmed Version 2, the five intended scenarios, and the pinned v2.0.0 commit.</w:t>
            </w:r>
          </w:p>
        </w:tc>
      </w:tr>
      <w:tr>
        <w:tc>
          <w:tcPr>
            <w:tcW w:type="dxa" w:w="2952"/>
            <w:tcMar>
              <w:top w:w="120" w:type="dxa"/>
              <w:start w:w="140" w:type="dxa"/>
              <w:bottom w:w="120" w:type="dxa"/>
              <w:end w:w="140" w:type="dxa"/>
            </w:tcMar>
            <w:vAlign w:val="center"/>
          </w:tcPr>
          <w:p>
            <w:r>
              <w:t>Categorical option coverage</w:t>
            </w:r>
          </w:p>
        </w:tc>
        <w:tc>
          <w:tcPr>
            <w:tcW w:type="dxa" w:w="6696"/>
            <w:tcMar>
              <w:top w:w="120" w:type="dxa"/>
              <w:start w:w="140" w:type="dxa"/>
              <w:bottom w:w="120" w:type="dxa"/>
              <w:end w:w="140" w:type="dxa"/>
            </w:tcMar>
            <w:vAlign w:val="center"/>
          </w:tcPr>
          <w:p>
            <w:r>
              <w:t>34 declared categorical options were inventoried and all 34 were exercised at least once.</w:t>
            </w:r>
          </w:p>
        </w:tc>
      </w:tr>
      <w:tr>
        <w:tc>
          <w:tcPr>
            <w:tcW w:type="dxa" w:w="2952"/>
            <w:tcMar>
              <w:top w:w="120" w:type="dxa"/>
              <w:start w:w="140" w:type="dxa"/>
              <w:bottom w:w="120" w:type="dxa"/>
              <w:end w:w="140" w:type="dxa"/>
            </w:tcMar>
            <w:vAlign w:val="center"/>
          </w:tcPr>
          <w:p>
            <w:r>
              <w:t>Executed matrix</w:t>
            </w:r>
          </w:p>
        </w:tc>
        <w:tc>
          <w:tcPr>
            <w:tcW w:type="dxa" w:w="6696"/>
            <w:tcMar>
              <w:top w:w="120" w:type="dxa"/>
              <w:start w:w="140" w:type="dxa"/>
              <w:bottom w:w="120" w:type="dxa"/>
              <w:end w:w="140" w:type="dxa"/>
            </w:tcMar>
            <w:vAlign w:val="center"/>
          </w:tcPr>
          <w:p>
            <w:r>
              <w:t>109 browser cases. This was a curated categorical + numeric-equivalence-class matrix, not a literal full Cartesian product.</w:t>
            </w:r>
          </w:p>
        </w:tc>
      </w:tr>
      <w:tr>
        <w:tc>
          <w:tcPr>
            <w:tcW w:type="dxa" w:w="2952"/>
            <w:tcMar>
              <w:top w:w="120" w:type="dxa"/>
              <w:start w:w="140" w:type="dxa"/>
              <w:bottom w:w="120" w:type="dxa"/>
              <w:end w:w="140" w:type="dxa"/>
            </w:tcMar>
            <w:vAlign w:val="center"/>
          </w:tcPr>
          <w:p>
            <w:r>
              <w:t>Classification</w:t>
            </w:r>
          </w:p>
        </w:tc>
        <w:tc>
          <w:tcPr>
            <w:tcW w:type="dxa" w:w="6696"/>
            <w:tcMar>
              <w:top w:w="120" w:type="dxa"/>
              <w:start w:w="140" w:type="dxa"/>
              <w:bottom w:w="120" w:type="dxa"/>
              <w:end w:w="140" w:type="dxa"/>
            </w:tcMar>
            <w:vAlign w:val="center"/>
          </w:tcPr>
          <w:p>
            <w:r>
              <w:t>103 PASS; 4 REVIEW REQUIRED; 2 FAIL-IMPLEMENTATION.</w:t>
            </w:r>
          </w:p>
        </w:tc>
      </w:tr>
      <w:tr>
        <w:tc>
          <w:tcPr>
            <w:tcW w:type="dxa" w:w="2952"/>
            <w:tcMar>
              <w:top w:w="120" w:type="dxa"/>
              <w:start w:w="140" w:type="dxa"/>
              <w:bottom w:w="120" w:type="dxa"/>
              <w:end w:w="140" w:type="dxa"/>
            </w:tcMar>
            <w:vAlign w:val="center"/>
          </w:tcPr>
          <w:p>
            <w:r>
              <w:t>Severe authorization failure search</w:t>
            </w:r>
          </w:p>
        </w:tc>
        <w:tc>
          <w:tcPr>
            <w:tcW w:type="dxa" w:w="6696"/>
            <w:tcMar>
              <w:top w:w="120" w:type="dxa"/>
              <w:start w:w="140" w:type="dxa"/>
              <w:bottom w:w="120" w:type="dxa"/>
              <w:end w:w="140" w:type="dxa"/>
            </w:tcMar>
            <w:vAlign w:val="center"/>
          </w:tcPr>
          <w:p>
            <w:r>
              <w:t>No case produced an ALLOW with zero underlying executable authority. No TRANSFER, REFUSE, or SUSPEND case left active executable authority in place in the ordinary paths tested.</w:t>
            </w:r>
          </w:p>
        </w:tc>
      </w:tr>
      <w:tr>
        <w:tc>
          <w:tcPr>
            <w:tcW w:type="dxa" w:w="2952"/>
            <w:tcMar>
              <w:top w:w="120" w:type="dxa"/>
              <w:start w:w="140" w:type="dxa"/>
              <w:bottom w:w="120" w:type="dxa"/>
              <w:end w:w="140" w:type="dxa"/>
            </w:tcMar>
            <w:vAlign w:val="center"/>
          </w:tcPr>
          <w:p>
            <w:r>
              <w:t>Important invariants</w:t>
            </w:r>
          </w:p>
        </w:tc>
        <w:tc>
          <w:tcPr>
            <w:tcW w:type="dxa" w:w="6696"/>
            <w:tcMar>
              <w:top w:w="120" w:type="dxa"/>
              <w:start w:w="140" w:type="dxa"/>
              <w:bottom w:w="120" w:type="dxa"/>
              <w:end w:w="140" w:type="dxa"/>
            </w:tcMar>
            <w:vAlign w:val="center"/>
          </w:tcPr>
          <w:p>
            <w:r>
              <w:t>Prediction did not grant authority; technical FAIL independently blocked; CONDITION predicates were causally consumed; architecture label alone did not grant authority; confidence/recommendation did not grant permission.</w:t>
            </w:r>
          </w:p>
        </w:tc>
      </w:tr>
    </w:tbl>
    <w:p>
      <w:pPr>
        <w:pStyle w:val="Heading1"/>
      </w:pPr>
      <w:r>
        <w:t>4. Findings that would have warranted action before freeze</w:t>
      </w:r>
    </w:p>
    <w:p>
      <w:pPr>
        <w:pStyle w:val="Heading2"/>
      </w:pPr>
      <w:r>
        <w:t>F-1 — REFUND-V2 / TRANSFER / empty owner</w:t>
      </w:r>
    </w:p>
    <w:p>
      <w:r>
        <w:t>Claude reproduced a REFUND-V2 edge case in which leaving the transfer-decision-owner field empty caused the run to surface MATERIAL classification, an unrelated NARROW-shaped authority object, and a $250 threshold from the scenario’s baked-in example decision rather than the standing $500 authority. The run still BLOCKED, so this was not an authorization bypass. However, the evidence trail described the wrong causal mechanism.</w:t>
      </w:r>
    </w:p>
    <w:p>
      <w:r>
        <w:t>If this had been fully adjudicated before V2 was frozen, the recommended action would have been: reproduce locally, inspect the decision-object construction path, correct the empty-string fallback/reset behavior if confirmed, and add a regression test. For an evidence-oriented authority harness, a safe final BLOCK with a false authority narrative is still a material implementation/evidence-integrity defect.</w:t>
      </w:r>
    </w:p>
    <w:p>
      <w:pPr>
        <w:pStyle w:val="Heading2"/>
      </w:pPr>
      <w:r>
        <w:t>F-2 — PROCUREMENT-V2 / NARROW / governed metric</w:t>
      </w:r>
    </w:p>
    <w:p>
      <w:r>
        <w:t>Claude reported that under RENEW the live governed-metric selector was causal, but under NARROW the resulting scope remained pinned to equipmentPriceCents even when totalAcquisitionCostCents was selected. Claude classified this as FAIL-IMPLEMENTATION.</w:t>
      </w:r>
    </w:p>
    <w:p>
      <w:r>
        <w:t>This finding should not have triggered an automatic code change without adjudication. The Procurement scenario was deliberately designed to distinguish the old equipment-price basis from the newly relevant total-acquisition-cost basis. A valid NARROW operation over the old metric can be a legitimate experimental result if the purpose is to show that a system can faithfully tighten the wrong organizational boundary. The required question is therefore semantic: is NARROW intended to narrow the selected current metric, or intentionally to narrow the old equipment-price authority while RENEW represents a change of governed basis? The answer must come from the governing experiment specification, not from Claude’s preferred oracle.</w:t>
      </w:r>
    </w:p>
    <w:p>
      <w:pPr>
        <w:pStyle w:val="Heading1"/>
      </w:pPr>
      <w:r>
        <w:t>5. REVIEW REQUIRED findings</w:t>
      </w:r>
    </w:p>
    <w:p>
      <w:pPr>
        <w:pStyle w:val="Heading2"/>
      </w:pPr>
      <w:r>
        <w:t>Refund CONDITION / risk-gate ambiguity</w:t>
      </w:r>
    </w:p>
    <w:p>
      <w:r>
        <w:t>Claude observed that supervisorConfirmation=true could permit MEDIUM- and HIGH-risk refunds without a customerRisk constraint in the resulting scope. It correctly stopped at REVIEW REQUIRED because the behavior could represent either an intended human override or unintended scope expansion. This is a policy/specification question unless the governing design states that the risk constraint must remain layered underneath CONDITION.</w:t>
      </w:r>
    </w:p>
    <w:p>
      <w:pPr>
        <w:pStyle w:val="Heading2"/>
      </w:pPr>
      <w:r>
        <w:t>Access order/history anomaly</w:t>
      </w:r>
    </w:p>
    <w:p>
      <w:r>
        <w:t>Claude observed one un-reset ACCESS-V2 sequence in which a condition appeared to carry into a later RENEW run and technical-validity output appeared stale. A controlled retest did not reproduce it. Claude therefore left the issue as REVIEW REQUIRED rather than promoting it to a confirmed defect. This is relevant to later external temporal/state attacks, but it is not itself proof of the same problem.</w:t>
      </w:r>
    </w:p>
    <w:p>
      <w:pPr>
        <w:pStyle w:val="Heading1"/>
      </w:pPr>
      <w:r>
        <w:t>6. Disclosed coverage limits</w:t>
      </w:r>
    </w:p>
    <w:p>
      <w:r>
        <w:t>The final Claude review did not execute “everything” in the literal combinatorial sense. Its own coverage audit disclosed the following major gaps:</w:t>
      </w:r>
    </w:p>
    <w:p>
      <w:pPr>
        <w:pStyle w:val="ListBullet"/>
      </w:pPr>
      <w:r>
        <w:t>Full Cartesian product across all categorical dimensions was not executed.</w:t>
      </w:r>
    </w:p>
    <w:p>
      <w:pPr>
        <w:pStyle w:val="ListBullet"/>
      </w:pPr>
      <w:r>
        <w:t>The formal 20-pair ordered scenario-switching ledger was not completed.</w:t>
      </w:r>
    </w:p>
    <w:p>
      <w:pPr>
        <w:pStyle w:val="ListBullet"/>
      </w:pPr>
      <w:r>
        <w:t>The full disposition-switching ordered-transition matrix was not completed.</w:t>
      </w:r>
    </w:p>
    <w:p>
      <w:pPr>
        <w:pStyle w:val="ListBullet"/>
      </w:pPr>
      <w:r>
        <w:t>Import/export round trips were not executed because the available browser automation could not reliably control native file dialogs and independently verify the exported file bytes.</w:t>
      </w:r>
    </w:p>
    <w:p>
      <w:pPr>
        <w:pStyle w:val="ListBullet"/>
      </w:pPr>
      <w:r>
        <w:t>Only 1 of 60 replay/determinism families was executed.</w:t>
      </w:r>
    </w:p>
    <w:p>
      <w:pPr>
        <w:pStyle w:val="ListBullet"/>
      </w:pPr>
      <w:r>
        <w:t>Procurement numeric testing used one representative economic pattern rather than a full below/at/above sweep.</w:t>
      </w:r>
    </w:p>
    <w:p>
      <w:pPr>
        <w:pStyle w:val="ListBullet"/>
      </w:pPr>
      <w:r>
        <w:t>The empty transfer-owner equivalence class was not separately retested in all five scenarios.</w:t>
      </w:r>
    </w:p>
    <w:p>
      <w:r>
        <w:t>Accordingly, the result should be described as a strong curated adversarial review with complete per-option categorical coverage, not as literal exhaustive Cartesian validation.</w:t>
      </w:r>
    </w:p>
    <w:p>
      <w:pPr>
        <w:pStyle w:val="Heading1"/>
      </w:pPr>
      <w:r>
        <w:t>7. Relationship to Wojciech’s later V2 attacks</w:t>
      </w:r>
    </w:p>
    <w:p>
      <w:pPr>
        <w:pStyle w:val="Heading2"/>
      </w:pPr>
      <w:r>
        <w:t>Correct outcome vs. correct causal explanation</w:t>
      </w:r>
    </w:p>
    <w:p>
      <w:r>
        <w:rPr>
          <w:b/>
        </w:rPr>
        <w:t xml:space="preserve">Claude final review: </w:t>
      </w:r>
      <w:r>
        <w:t>Claude F-1 produced a safe BLOCK but with the wrong materiality/authority narrative.</w:t>
      </w:r>
    </w:p>
    <w:p>
      <w:r>
        <w:rPr>
          <w:b/>
        </w:rPr>
        <w:t xml:space="preserve">Wojciech attack: </w:t>
      </w:r>
      <w:r>
        <w:t>Wojciech independently argued that ALLOW/BLOCK accuracy is too weak if the model cannot discriminate why the consequence became reachable or unreachable.</w:t>
      </w:r>
    </w:p>
    <w:p>
      <w:r>
        <w:rPr>
          <w:b/>
        </w:rPr>
        <w:t xml:space="preserve">Interpretation: </w:t>
      </w:r>
      <w:r>
        <w:t>Strong conceptual convergence. Claude found an implementation instance; Wojciech is testing the representational property.</w:t>
      </w:r>
    </w:p>
    <w:p>
      <w:pPr>
        <w:pStyle w:val="Heading2"/>
      </w:pPr>
      <w:r>
        <w:t>Boundary is causal, not decorative</w:t>
      </w:r>
    </w:p>
    <w:p>
      <w:r>
        <w:rPr>
          <w:b/>
        </w:rPr>
        <w:t xml:space="preserve">Claude final review: </w:t>
      </w:r>
      <w:r>
        <w:t>Claude’s inside/outside and matched-pair cases showed that changing boundary membership or condition values can flip execution.</w:t>
      </w:r>
    </w:p>
    <w:p>
      <w:r>
        <w:rPr>
          <w:b/>
        </w:rPr>
        <w:t xml:space="preserve">Wojciech attack: </w:t>
      </w:r>
      <w:r>
        <w:t>Wojciech independently tested whether the boundary merely restates an upstream governance outcome and concluded that inside/outside behavior demonstrates genuine causal work.</w:t>
      </w:r>
    </w:p>
    <w:p>
      <w:r>
        <w:rPr>
          <w:b/>
        </w:rPr>
        <w:t xml:space="preserve">Interpretation: </w:t>
      </w:r>
      <w:r>
        <w:t>Direct positive convergence: both support causal boundary enforcement within the represented state.</w:t>
      </w:r>
    </w:p>
    <w:p>
      <w:pPr>
        <w:pStyle w:val="Heading2"/>
      </w:pPr>
      <w:r>
        <w:t>State/history propagation</w:t>
      </w:r>
    </w:p>
    <w:p>
      <w:r>
        <w:rPr>
          <w:b/>
        </w:rPr>
        <w:t xml:space="preserve">Claude final review: </w:t>
      </w:r>
      <w:r>
        <w:t>Claude observed one unconfirmed ACCESS-V2 order/history anomaly that failed controlled reproduction.</w:t>
      </w:r>
    </w:p>
    <w:p>
      <w:r>
        <w:rPr>
          <w:b/>
        </w:rPr>
        <w:t xml:space="preserve">Wojciech attack: </w:t>
      </w:r>
      <w:r>
        <w:t>Wojciech is attacking whether authority/state can become stale after boundary creation and before later execution.</w:t>
      </w:r>
    </w:p>
    <w:p>
      <w:r>
        <w:rPr>
          <w:b/>
        </w:rPr>
        <w:t xml:space="preserve">Interpretation: </w:t>
      </w:r>
      <w:r>
        <w:t>Adjacent, not identical. Claude suggests client-state risk; Wojciech identifies a temporal state-transition space V2 does not model.</w:t>
      </w:r>
    </w:p>
    <w:p>
      <w:pPr>
        <w:pStyle w:val="Heading2"/>
      </w:pPr>
      <w:r>
        <w:t>Wrong organizational boundary</w:t>
      </w:r>
    </w:p>
    <w:p>
      <w:r>
        <w:rPr>
          <w:b/>
        </w:rPr>
        <w:t xml:space="preserve">Claude final review: </w:t>
      </w:r>
      <w:r>
        <w:t>Claude highlighted Procurement as a case where a narrowed-looking boundary can govern the wrong economic quantity.</w:t>
      </w:r>
    </w:p>
    <w:p>
      <w:r>
        <w:rPr>
          <w:b/>
        </w:rPr>
        <w:t xml:space="preserve">Wojciech attack: </w:t>
      </w:r>
      <w:r>
        <w:t>Wojciech explicitly recognizes that technically correct enforcement of substantively wrong organizational authority is a known limit, not evidence that enforcement is non-causal.</w:t>
      </w:r>
    </w:p>
    <w:p>
      <w:r>
        <w:rPr>
          <w:b/>
        </w:rPr>
        <w:t xml:space="preserve">Interpretation: </w:t>
      </w:r>
      <w:r>
        <w:t>Conceptual convergence on enforcement correctness vs. authority/specification correctness.</w:t>
      </w:r>
    </w:p>
    <w:p>
      <w:pPr>
        <w:pStyle w:val="Heading1"/>
      </w:pPr>
      <w:r>
        <w:t>8. Current disposition of the Claude findings</w:t>
      </w:r>
    </w:p>
    <w:p>
      <w:r>
        <w:rPr>
          <w:b/>
        </w:rPr>
        <w:t xml:space="preserve">PRESERVE: </w:t>
      </w:r>
      <w:r>
        <w:t>the five final Claude deliverables unchanged as raw independent-review evidence.</w:t>
      </w:r>
    </w:p>
    <w:p>
      <w:r>
        <w:rPr>
          <w:b/>
        </w:rPr>
        <w:t xml:space="preserve">DO NOT REMEDIATE V2 NOW: </w:t>
      </w:r>
      <w:r>
        <w:t>because Wojciech is testing the frozen V2.0.0 artifact and changing the target would contaminate that review.</w:t>
      </w:r>
    </w:p>
    <w:p>
      <w:r>
        <w:rPr>
          <w:b/>
        </w:rPr>
        <w:t xml:space="preserve">ADJUDICATE AFTER WOJCIECH: </w:t>
      </w:r>
      <w:r>
        <w:t>using the governing specification, internal validation, Claude final review, and Wojciech’s completed external attack side by side.</w:t>
      </w:r>
    </w:p>
    <w:p>
      <w:r>
        <w:rPr>
          <w:b/>
        </w:rPr>
        <w:t xml:space="preserve">DISTINGUISH: </w:t>
      </w:r>
      <w:r>
        <w:t>implementation defect, specification ambiguity, reviewer-oracle disagreement, representation limitation, conceptual limitation, coverage limitation, and not-reproduced observation.</w:t>
      </w:r>
    </w:p>
    <w:p>
      <w:r>
        <w:rPr>
          <w:b/>
        </w:rPr>
        <w:t xml:space="preserve">VERSIONING LATER: </w:t>
      </w:r>
      <w:r>
        <w:t>only after adjudication should the project decide whether any item warrants a V2.0.1/V2.x correction, a V2.5 temporal-continuity experiment, documentation-only claim narrowing, or no change.</w:t>
      </w:r>
    </w:p>
    <w:p>
      <w:pPr>
        <w:pStyle w:val="Heading1"/>
      </w:pPr>
      <w:r>
        <w:t>9. Artifacts associated with this record</w:t>
      </w:r>
    </w:p>
    <w:p>
      <w:pPr>
        <w:pStyle w:val="ListBullet"/>
      </w:pPr>
      <w:r>
        <w:t>CLAUDE-V2-FINAL-EXHAUSTIVE-EVALUATION.md</w:t>
      </w:r>
    </w:p>
    <w:p>
      <w:pPr>
        <w:pStyle w:val="ListBullet"/>
      </w:pPr>
      <w:r>
        <w:t>CLAUDE-V2-FINAL-CASE-LEDGER.csv</w:t>
      </w:r>
    </w:p>
    <w:p>
      <w:pPr>
        <w:pStyle w:val="ListBullet"/>
      </w:pPr>
      <w:r>
        <w:t>CLAUDE-V2-FINAL-EVIDENCE.json</w:t>
      </w:r>
    </w:p>
    <w:p>
      <w:pPr>
        <w:pStyle w:val="ListBullet"/>
      </w:pPr>
      <w:r>
        <w:t>CLAUDE-V2-FINAL-CONTROL-INVENTORY.json</w:t>
      </w:r>
    </w:p>
    <w:p>
      <w:pPr>
        <w:pStyle w:val="ListBullet"/>
      </w:pPr>
      <w:r>
        <w:t>CLAUDE-V2-FINAL-COVERAGE-AUDIT.json</w:t>
      </w:r>
    </w:p>
    <w:p>
      <w:r>
        <w:t>Recommended repository treatment: preserve these as an untouched raw-deliverables set under the Version 2 independent-review evidence tree, accompanied by this adjudication-context record. Do not rewrite Claude’s files to reflect later conclusions.</w:t>
      </w:r>
    </w:p>
    <w:p>
      <w:pPr>
        <w:pStyle w:val="Heading1"/>
      </w:pPr>
      <w:r>
        <w:t>10. Canonical takeaway</w:t>
      </w:r>
    </w:p>
    <w:tbl>
      <w:tblPr>
        <w:tblW w:type="auto" w:w="0"/>
        <w:jc w:val="center"/>
        <w:tblLayout w:type="fixed"/>
        <w:tblLook w:firstColumn="1" w:firstRow="1" w:lastColumn="0" w:lastRow="0" w:noHBand="0" w:noVBand="1" w:val="04A0"/>
      </w:tblPr>
      <w:tblGrid>
        <w:gridCol w:w="9648"/>
      </w:tblGrid>
      <w:tr>
        <w:tc>
          <w:tcPr>
            <w:tcW w:type="dxa" w:w="9936"/>
            <w:shd w:fill="FFF2CC"/>
            <w:tcMar>
              <w:top w:w="180" w:type="dxa"/>
              <w:start w:w="180" w:type="dxa"/>
              <w:bottom w:w="180" w:type="dxa"/>
              <w:end w:w="180" w:type="dxa"/>
            </w:tcMar>
          </w:tcPr>
          <w:p>
            <w:r>
              <w:rPr>
                <w:b/>
              </w:rPr>
              <w:t xml:space="preserve">Claude’s final review did not show that Version 2’s authority model collapsed. </w:t>
            </w:r>
            <w:r>
              <w:t>It did surface a real evidence-integrity edge case, a Procurement semantic/implementation dispute that requires specification adjudication, and several unresolved state/policy questions. Most importantly, it independently reinforced two themes later attacked by Wojciech: a correct ALLOW/BLOCK result is not enough if the causal explanation is wrong, and an enforceable boundary can be technically causal while still being stale, incomplete, or organizationally wrong.</w:t>
            </w:r>
          </w:p>
        </w:tc>
      </w:tr>
    </w:tbl>
    <w:p>
      <w:pPr>
        <w:jc w:val="center"/>
      </w:pPr>
      <w:r>
        <w:rPr>
          <w:i/>
          <w:color w:val="646464"/>
          <w:sz w:val="18"/>
        </w:rPr>
        <w:t>Record status: historical / frozen-V2 evidence context</w:t>
      </w:r>
    </w:p>
    <w:sectPr w:rsidR="00FC693F" w:rsidRPr="0006063C" w:rsidSect="00034616">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