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665AF" w14:textId="77777777" w:rsidR="003B74D8" w:rsidRDefault="0054701E">
      <w:pPr>
        <w:pStyle w:val="Title"/>
      </w:pPr>
      <w:r>
        <w:t>Robert — V2 External Review Notes</w:t>
      </w:r>
    </w:p>
    <w:p w14:paraId="4457A132" w14:textId="77777777" w:rsidR="003B74D8" w:rsidRDefault="0054701E">
      <w:r>
        <w:rPr>
          <w:b/>
        </w:rPr>
        <w:t xml:space="preserve">Status: </w:t>
      </w:r>
      <w:r>
        <w:t>PRE-REVIEW / PROVISIONAL — Robert has committed to inspect the harness before discussion. These notes preserve his independent framing and should not be treated as test findings yet.</w:t>
      </w:r>
    </w:p>
    <w:p w14:paraId="70CFE4F6" w14:textId="77777777" w:rsidR="003B74D8" w:rsidRDefault="0054701E">
      <w:r>
        <w:rPr>
          <w:b/>
        </w:rPr>
        <w:t xml:space="preserve">Purpose: </w:t>
      </w:r>
      <w:r>
        <w:t>Preserve Robert’s accountability and organizational-behavior perspective separately from Wojciech’s formal adversarial review, avoiding cross-contamination before Robert inspects V2.</w:t>
      </w:r>
    </w:p>
    <w:tbl>
      <w:tblPr>
        <w:tblW w:w="0" w:type="auto"/>
        <w:jc w:val="center"/>
        <w:tblLayout w:type="fixed"/>
        <w:tblLook w:val="04A0" w:firstRow="1" w:lastRow="0" w:firstColumn="1" w:lastColumn="0" w:noHBand="0" w:noVBand="1"/>
      </w:tblPr>
      <w:tblGrid>
        <w:gridCol w:w="9792"/>
      </w:tblGrid>
      <w:tr w:rsidR="003B74D8" w14:paraId="0A99A273" w14:textId="77777777">
        <w:trPr>
          <w:jc w:val="center"/>
        </w:trPr>
        <w:tc>
          <w:tcPr>
            <w:tcW w:w="9792" w:type="dxa"/>
            <w:shd w:val="clear" w:color="auto" w:fill="EAF2F8"/>
            <w:tcMar>
              <w:top w:w="160" w:type="dxa"/>
              <w:left w:w="180" w:type="dxa"/>
              <w:bottom w:w="160" w:type="dxa"/>
              <w:right w:w="180" w:type="dxa"/>
            </w:tcMar>
          </w:tcPr>
          <w:p w14:paraId="728F9D7C" w14:textId="77777777" w:rsidR="003B74D8" w:rsidRDefault="0054701E">
            <w:pPr>
              <w:spacing w:after="0"/>
            </w:pPr>
            <w:r>
              <w:rPr>
                <w:b/>
                <w:color w:val="1F4E79"/>
              </w:rPr>
              <w:t>Independence boundary</w:t>
            </w:r>
            <w:r>
              <w:rPr>
                <w:b/>
                <w:color w:val="1F4E79"/>
              </w:rPr>
              <w:br/>
            </w:r>
            <w:r>
              <w:t>Do not brief Robert on Wojciech’s technical findings before Robert has had his own opportunity to inspect the frozen V2 harness. Any later convergence should be identifiable as independent convergence.</w:t>
            </w:r>
          </w:p>
        </w:tc>
      </w:tr>
    </w:tbl>
    <w:p w14:paraId="42F9C7C1" w14:textId="77777777" w:rsidR="003B74D8" w:rsidRDefault="0054701E">
      <w:pPr>
        <w:pStyle w:val="Heading1"/>
      </w:pPr>
      <w:r>
        <w:t>Robert’s initial framing</w:t>
      </w:r>
    </w:p>
    <w:p w14:paraId="037116E0" w14:textId="77777777" w:rsidR="003B74D8" w:rsidRDefault="0054701E">
      <w:r>
        <w:t>Robert identified two of the same hard questions as points where his accountability perspective intersects the harness, but expressed them through operational ownership and organizational learning rather than through the formal state representation.</w:t>
      </w:r>
    </w:p>
    <w:p w14:paraId="24874819" w14:textId="77777777" w:rsidR="003B74D8" w:rsidRDefault="0054701E">
      <w:pPr>
        <w:pStyle w:val="Heading2"/>
      </w:pPr>
      <w:r>
        <w:t>Observation 1 — recoverability drift</w:t>
      </w:r>
    </w:p>
    <w:p w14:paraId="74E5ADD0" w14:textId="77777777" w:rsidR="003B74D8" w:rsidRDefault="0054701E">
      <w:r>
        <w:rPr>
          <w:b/>
        </w:rPr>
        <w:t xml:space="preserve">Robert’s formulation: </w:t>
      </w:r>
      <w:r>
        <w:t>“Can the boundary go stale before execution” is a recoverability-drift problem: an ALLOW that was admissible when granted but is no longer admissible by the time it fires.</w:t>
      </w:r>
    </w:p>
    <w:p w14:paraId="2A49F063" w14:textId="77777777" w:rsidR="003B74D8" w:rsidRDefault="0054701E">
      <w:r>
        <w:t>His accountability implication is that someone has to own the authority envelope as it moves, not merely define it once. This reframes temporal validity as both a technical state question and an operational ownership question.</w:t>
      </w:r>
    </w:p>
    <w:p w14:paraId="7197C820" w14:textId="77777777" w:rsidR="003B74D8" w:rsidRDefault="0054701E">
      <w:pPr>
        <w:pStyle w:val="Heading2"/>
      </w:pPr>
      <w:r>
        <w:t>Observation 2 — correct verdict, wrong causal explanation</w:t>
      </w:r>
    </w:p>
    <w:p w14:paraId="66E55C5F" w14:textId="77777777" w:rsidR="003B74D8" w:rsidRDefault="0054701E">
      <w:r>
        <w:rPr>
          <w:b/>
        </w:rPr>
        <w:t xml:space="preserve">Robert’s formulation: </w:t>
      </w:r>
      <w:r>
        <w:t>A control can produce the correct ALLOW/BLOCK verdict while giving the wrong causal explanation for why the system behaved that way.</w:t>
      </w:r>
    </w:p>
    <w:p w14:paraId="0815A62C" w14:textId="77777777" w:rsidR="003B74D8" w:rsidRDefault="0054701E">
      <w:r>
        <w:t>His organizational implication is that a control producing the right verdict for the wrong reason can pass an audit and teach the organization the wrong lesson. Apparent control success can therefore conceal a misunderstood mechanism.</w:t>
      </w:r>
    </w:p>
    <w:tbl>
      <w:tblPr>
        <w:tblW w:w="0" w:type="auto"/>
        <w:jc w:val="center"/>
        <w:tblLayout w:type="fixed"/>
        <w:tblLook w:val="04A0" w:firstRow="1" w:lastRow="0" w:firstColumn="1" w:lastColumn="0" w:noHBand="0" w:noVBand="1"/>
      </w:tblPr>
      <w:tblGrid>
        <w:gridCol w:w="9792"/>
      </w:tblGrid>
      <w:tr w:rsidR="003B74D8" w14:paraId="7A940F46" w14:textId="77777777">
        <w:trPr>
          <w:jc w:val="center"/>
        </w:trPr>
        <w:tc>
          <w:tcPr>
            <w:tcW w:w="9792" w:type="dxa"/>
            <w:shd w:val="clear" w:color="auto" w:fill="D9EAF7"/>
            <w:tcMar>
              <w:top w:w="160" w:type="dxa"/>
              <w:left w:w="180" w:type="dxa"/>
              <w:bottom w:w="160" w:type="dxa"/>
              <w:right w:w="180" w:type="dxa"/>
            </w:tcMar>
          </w:tcPr>
          <w:p w14:paraId="41948A8D" w14:textId="77777777" w:rsidR="003B74D8" w:rsidRDefault="0054701E">
            <w:pPr>
              <w:spacing w:after="0"/>
            </w:pPr>
            <w:r>
              <w:rPr>
                <w:b/>
                <w:color w:val="1F4E79"/>
              </w:rPr>
              <w:t>Robert’s distinctive angle</w:t>
            </w:r>
            <w:r>
              <w:rPr>
                <w:b/>
                <w:color w:val="1F4E79"/>
              </w:rPr>
              <w:br/>
            </w:r>
            <w:r>
              <w:t>Outcome correctness is not enough if operational accountability and organizational learning are attached to the wrong causal story. A technically correct verdict can still create governance risk if the organization misunderstands why the verdict occurred.</w:t>
            </w:r>
          </w:p>
        </w:tc>
      </w:tr>
    </w:tbl>
    <w:p w14:paraId="1D1AD848" w14:textId="77777777" w:rsidR="003B74D8" w:rsidRDefault="0054701E">
      <w:pPr>
        <w:pStyle w:val="Heading1"/>
      </w:pPr>
      <w:r>
        <w:t>Planned engagement</w:t>
      </w:r>
    </w:p>
    <w:p w14:paraId="29E8128E" w14:textId="77777777" w:rsidR="003B74D8" w:rsidRDefault="0054701E">
      <w:pPr>
        <w:pStyle w:val="ListBullet"/>
      </w:pPr>
      <w:r>
        <w:t>Robert said he will inspect the harness before the scheduled conversation.</w:t>
      </w:r>
    </w:p>
    <w:p w14:paraId="471CA79A" w14:textId="77777777" w:rsidR="003B74D8" w:rsidRDefault="0054701E">
      <w:pPr>
        <w:pStyle w:val="ListBullet"/>
      </w:pPr>
      <w:r>
        <w:t>Robert agreed to join the Unspecified mailing list.</w:t>
      </w:r>
    </w:p>
    <w:p w14:paraId="3156ACDE" w14:textId="77777777" w:rsidR="003B74D8" w:rsidRDefault="0054701E">
      <w:pPr>
        <w:pStyle w:val="ListBullet"/>
      </w:pPr>
      <w:r>
        <w:t>The pre-conversation record should remain limited to his own framing; findings from Wojciech or Claude should not be supplied unless Robert asks for them after his independent inspection.</w:t>
      </w:r>
    </w:p>
    <w:p w14:paraId="65328608" w14:textId="77777777" w:rsidR="003B74D8" w:rsidRDefault="0054701E">
      <w:pPr>
        <w:pStyle w:val="Heading1"/>
      </w:pPr>
      <w:r>
        <w:lastRenderedPageBreak/>
        <w:t>Relationship to the frozen V2 review</w:t>
      </w:r>
    </w:p>
    <w:p w14:paraId="5E4CC263" w14:textId="77777777" w:rsidR="003B74D8" w:rsidRDefault="0054701E">
      <w:r>
        <w:t>These notes are not a V2 adjudication and do not authorize changes. Robert’s future observations should be preserved as a separate external-review stream. If Robert independently identifies the same temporal boundary that Wojciech has identified, the provenance of that convergence should be preserved explicitly.</w:t>
      </w:r>
    </w:p>
    <w:p w14:paraId="41CA35DE" w14:textId="77777777" w:rsidR="003B74D8" w:rsidRDefault="0054701E">
      <w:pPr>
        <w:pStyle w:val="Heading1"/>
      </w:pPr>
      <w:r>
        <w:t>Provenance</w:t>
      </w:r>
    </w:p>
    <w:p w14:paraId="058160B1" w14:textId="77777777" w:rsidR="003B74D8" w:rsidRDefault="0054701E">
      <w:r>
        <w:t>Robert’s observations remain Robert’s unless a later conclusion is explicitly developed jointly. Kelly’s interpretation and project conclusions remain separate. AI-assisted documentation should preserve that distinction rather than retrospectively assigning authorship.</w:t>
      </w:r>
    </w:p>
    <w:sectPr w:rsidR="003B74D8"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632217">
    <w:abstractNumId w:val="8"/>
  </w:num>
  <w:num w:numId="2" w16cid:durableId="865562657">
    <w:abstractNumId w:val="6"/>
  </w:num>
  <w:num w:numId="3" w16cid:durableId="1481264290">
    <w:abstractNumId w:val="5"/>
  </w:num>
  <w:num w:numId="4" w16cid:durableId="492843437">
    <w:abstractNumId w:val="4"/>
  </w:num>
  <w:num w:numId="5" w16cid:durableId="757868586">
    <w:abstractNumId w:val="7"/>
  </w:num>
  <w:num w:numId="6" w16cid:durableId="1195122063">
    <w:abstractNumId w:val="3"/>
  </w:num>
  <w:num w:numId="7" w16cid:durableId="2098481988">
    <w:abstractNumId w:val="2"/>
  </w:num>
  <w:num w:numId="8" w16cid:durableId="1014916375">
    <w:abstractNumId w:val="1"/>
  </w:num>
  <w:num w:numId="9" w16cid:durableId="8985881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4D8"/>
    <w:rsid w:val="0054701E"/>
    <w:rsid w:val="00AA1D8D"/>
    <w:rsid w:val="00B47730"/>
    <w:rsid w:val="00BD0C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7EDED"/>
  <w14:defaultImageDpi w14:val="300"/>
  <w15:docId w15:val="{8A87EBAE-EE39-1D40-B286-5DBFCEEB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Newsome</cp:lastModifiedBy>
  <cp:revision>2</cp:revision>
  <dcterms:created xsi:type="dcterms:W3CDTF">2026-08-30T18:31:00Z</dcterms:created>
  <dcterms:modified xsi:type="dcterms:W3CDTF">2026-08-30T18:31:00Z</dcterms:modified>
  <cp:category/>
</cp:coreProperties>
</file>