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DDC23" w14:textId="77777777" w:rsidR="00AC7A76" w:rsidRDefault="00EE7645">
      <w:pPr>
        <w:pStyle w:val="Title"/>
      </w:pPr>
      <w:r>
        <w:rPr>
          <w:b/>
          <w:color w:val="1F4E79"/>
        </w:rPr>
        <w:t>Operational AI Authority Test Harness</w:t>
      </w:r>
    </w:p>
    <w:p w14:paraId="0E32D6B3" w14:textId="77777777" w:rsidR="00AC7A76" w:rsidRDefault="00EE7645">
      <w:r>
        <w:rPr>
          <w:b/>
          <w:sz w:val="30"/>
        </w:rPr>
        <w:t>External Adversarial Attack Agenda for Version 2</w:t>
      </w:r>
    </w:p>
    <w:p w14:paraId="4F635C68" w14:textId="77777777" w:rsidR="00AC7A76" w:rsidRDefault="00EE7645">
      <w:r>
        <w:rPr>
          <w:i/>
          <w:sz w:val="21"/>
        </w:rPr>
        <w:t>Source: Wojciech — proposed attacks against frozen V2</w:t>
      </w:r>
    </w:p>
    <w:tbl>
      <w:tblPr>
        <w:tblW w:w="0" w:type="auto"/>
        <w:jc w:val="center"/>
        <w:tblLook w:val="04A0" w:firstRow="1" w:lastRow="0" w:firstColumn="1" w:lastColumn="0" w:noHBand="0" w:noVBand="1"/>
      </w:tblPr>
      <w:tblGrid>
        <w:gridCol w:w="9936"/>
      </w:tblGrid>
      <w:tr w:rsidR="00AC7A76" w14:paraId="7F558647" w14:textId="77777777">
        <w:trPr>
          <w:jc w:val="center"/>
        </w:trPr>
        <w:tc>
          <w:tcPr>
            <w:tcW w:w="9936" w:type="dxa"/>
            <w:shd w:val="clear" w:color="auto" w:fill="EAF2F8"/>
            <w:vAlign w:val="center"/>
          </w:tcPr>
          <w:p w14:paraId="31DCD148" w14:textId="77777777" w:rsidR="00AC7A76" w:rsidRDefault="00EE7645">
            <w:r>
              <w:rPr>
                <w:b/>
              </w:rPr>
              <w:t>Boundary condition: V2 is frozen for the attack. No rescue from V3.</w:t>
            </w:r>
          </w:p>
        </w:tc>
      </w:tr>
    </w:tbl>
    <w:p w14:paraId="0F0D4ACE" w14:textId="77777777" w:rsidR="00AC7A76" w:rsidRDefault="00EE7645">
      <w:pPr>
        <w:pStyle w:val="Heading1"/>
      </w:pPr>
      <w:r>
        <w:t>Purpose</w:t>
      </w:r>
    </w:p>
    <w:p w14:paraId="0BFB81CD" w14:textId="77777777" w:rsidR="00AC7A76" w:rsidRDefault="00EE7645">
      <w:r>
        <w:t xml:space="preserve">This document preserves Wojciech’s proposed adversarial agenda for Version 2. </w:t>
      </w:r>
      <w:r>
        <w:rPr>
          <w:b/>
        </w:rPr>
        <w:t>It is not a remediation plan, a V3 specification, or an interpretation of how V2 should respond.</w:t>
      </w:r>
      <w:r>
        <w:t xml:space="preserve"> Its purpose is to preserve the external challenge so V2 can be attacked on its own terms before any parked authority-to-authorize concepts are introduced.</w:t>
      </w:r>
    </w:p>
    <w:p w14:paraId="4AAF5B75" w14:textId="77777777" w:rsidR="00AC7A76" w:rsidRDefault="00EE7645">
      <w:pPr>
        <w:pStyle w:val="Heading1"/>
      </w:pPr>
      <w:r>
        <w:t>Reviewer framing</w:t>
      </w:r>
    </w:p>
    <w:p w14:paraId="44546401" w14:textId="77777777" w:rsidR="00AC7A76" w:rsidRDefault="00EE7645">
      <w:pPr>
        <w:ind w:left="360" w:right="360"/>
      </w:pPr>
      <w:r>
        <w:rPr>
          <w:i/>
        </w:rPr>
        <w:t>“ALLOW/BLOCK accuracy alone is too weak a success criterion. What matters is whether the model can show why the consequence became reachable or unreachable, and whether that explanation survives changes in timing and state.”</w:t>
      </w:r>
    </w:p>
    <w:p w14:paraId="748D65A8" w14:textId="77777777" w:rsidR="00AC7A76" w:rsidRDefault="00EE7645">
      <w:r>
        <w:t>Wojciech’s stated standard is that V2 should discriminate materially different authority situations without borrowing anything from the parked authority-to-authorize layer.</w:t>
      </w:r>
    </w:p>
    <w:p w14:paraId="6F81E26D" w14:textId="77777777" w:rsidR="00AC7A76" w:rsidRDefault="00EE7645">
      <w:pPr>
        <w:pStyle w:val="Heading1"/>
      </w:pPr>
      <w:r>
        <w:t>Priority attacks</w:t>
      </w:r>
    </w:p>
    <w:p w14:paraId="64D86E4D" w14:textId="77777777" w:rsidR="00AC7A76" w:rsidRDefault="00EE7645">
      <w:r>
        <w:rPr>
          <w:b/>
          <w:sz w:val="23"/>
        </w:rPr>
        <w:t>1. Authority valid at creation; relevant condition changes before execution</w:t>
      </w:r>
    </w:p>
    <w:p w14:paraId="5E0C5FCE" w14:textId="77777777" w:rsidR="00AC7A76" w:rsidRDefault="00EE7645">
      <w:pPr>
        <w:ind w:left="360"/>
      </w:pPr>
      <w:r>
        <w:t>Create authority under a valid state, then change a relevant condition before execution. Test whether execution consumes current authority and current conditions rather than merely relying on authority that was valid when created.</w:t>
      </w:r>
    </w:p>
    <w:p w14:paraId="1BC447E4" w14:textId="77777777" w:rsidR="00AC7A76" w:rsidRDefault="00EE7645">
      <w:r>
        <w:rPr>
          <w:b/>
          <w:sz w:val="23"/>
        </w:rPr>
        <w:t>2. Correct BLOCK; materially different causes collapse into the same state</w:t>
      </w:r>
    </w:p>
    <w:p w14:paraId="5406B870" w14:textId="77777777" w:rsidR="00AC7A76" w:rsidRDefault="00EE7645">
      <w:pPr>
        <w:ind w:left="360"/>
      </w:pPr>
      <w:r>
        <w:t>Construct cases that should both BLOCK but for different causal reasons. Test whether the model can distinguish why execution became unreachable rather than merely emitting the same final BLOCK state.</w:t>
      </w:r>
    </w:p>
    <w:p w14:paraId="20DE8CE3" w14:textId="77777777" w:rsidR="00AC7A76" w:rsidRDefault="00EE7645">
      <w:r>
        <w:rPr>
          <w:b/>
          <w:sz w:val="23"/>
        </w:rPr>
        <w:t>3. Governance disposition unchanged; authority boundary should change</w:t>
      </w:r>
    </w:p>
    <w:p w14:paraId="14CF9F08" w14:textId="77777777" w:rsidR="00AC7A76" w:rsidRDefault="00EE7645">
      <w:pPr>
        <w:ind w:left="360"/>
      </w:pPr>
      <w:r>
        <w:t>Hold the governance disposition constant while changing facts that should alter the resulting enforceable authority boundary. Test whether disposition and resulting authority remain genuinely separate concepts.</w:t>
      </w:r>
    </w:p>
    <w:p w14:paraId="7C14C314" w14:textId="77777777" w:rsidR="00AC7A76" w:rsidRDefault="00EE7645">
      <w:r>
        <w:rPr>
          <w:b/>
          <w:sz w:val="23"/>
        </w:rPr>
        <w:t>4. Authority boundary remains syntactically valid while its justification has expired</w:t>
      </w:r>
    </w:p>
    <w:p w14:paraId="438CD9EA" w14:textId="77777777" w:rsidR="00AC7A76" w:rsidRDefault="00EE7645">
      <w:pPr>
        <w:ind w:left="360"/>
      </w:pPr>
      <w:r>
        <w:t>Create an authority record that still looks structurally valid, but allow the state or condition that justified it to expire. Test whether semantic staleness can be represented and enforced.</w:t>
      </w:r>
    </w:p>
    <w:p w14:paraId="0D90C565" w14:textId="77777777" w:rsidR="00AC7A76" w:rsidRDefault="00EE7645">
      <w:r>
        <w:rPr>
          <w:b/>
          <w:sz w:val="23"/>
        </w:rPr>
        <w:t>5. Same final outcome; only one run has a legitimate authority path</w:t>
      </w:r>
    </w:p>
    <w:p w14:paraId="05F16FF0" w14:textId="77777777" w:rsidR="00AC7A76" w:rsidRDefault="00EE7645">
      <w:pPr>
        <w:ind w:left="360"/>
      </w:pPr>
      <w:r>
        <w:t>Construct two runs that end in the same ALLOW or BLOCK result, but where only one run reaches that result through a legitimate authority path. Test whether the evidence can distinguish causal legitimacy rather than only final outcome equivalence.</w:t>
      </w:r>
    </w:p>
    <w:p w14:paraId="1A5FFF2A" w14:textId="77777777" w:rsidR="00AC7A76" w:rsidRDefault="00EE7645">
      <w:pPr>
        <w:pStyle w:val="Heading1"/>
      </w:pPr>
      <w:r>
        <w:t>Success criterion</w:t>
      </w:r>
    </w:p>
    <w:p w14:paraId="6FCCB1D7" w14:textId="77777777" w:rsidR="00AC7A76" w:rsidRDefault="00EE7645">
      <w:r>
        <w:rPr>
          <w:b/>
        </w:rPr>
        <w:t xml:space="preserve">V2 does not survive merely by returning the expected final ALLOW/BLOCK value. </w:t>
      </w:r>
      <w:r>
        <w:t>It must preserve and expose the causal distinction that makes the consequence reachable or unreachable, including when timing, state, or the authority path changes.</w:t>
      </w:r>
    </w:p>
    <w:p w14:paraId="1ACF7F2B" w14:textId="77777777" w:rsidR="00AC7A76" w:rsidRDefault="00EE7645">
      <w:pPr>
        <w:ind w:left="360" w:right="360"/>
      </w:pPr>
      <w:r>
        <w:rPr>
          <w:i/>
        </w:rPr>
        <w:t>“If it cannot, the interesting result is not simply that it failed. It is identifying exactly which distinction the current representation cannot carry.”</w:t>
      </w:r>
    </w:p>
    <w:p w14:paraId="254E440D" w14:textId="77777777" w:rsidR="00AC7A76" w:rsidRDefault="00EE7645">
      <w:pPr>
        <w:pStyle w:val="Heading1"/>
      </w:pPr>
      <w:r>
        <w:t>Experimental constraints</w:t>
      </w:r>
    </w:p>
    <w:p w14:paraId="46957FBD" w14:textId="77777777" w:rsidR="00AC7A76" w:rsidRDefault="00EE7645">
      <w:pPr>
        <w:pStyle w:val="ListBullet"/>
      </w:pPr>
      <w:r>
        <w:t>Treat Version 2 as frozen for purposes of the attack.</w:t>
      </w:r>
    </w:p>
    <w:p w14:paraId="70524768" w14:textId="77777777" w:rsidR="00AC7A76" w:rsidRDefault="00EE7645">
      <w:pPr>
        <w:pStyle w:val="ListBullet"/>
      </w:pPr>
      <w:r>
        <w:t>Do not introduce authority-to-authorize, standing, grantor hierarchy, or other parked V3 concepts to make V2 pass.</w:t>
      </w:r>
    </w:p>
    <w:p w14:paraId="1F8A4124" w14:textId="77777777" w:rsidR="00AC7A76" w:rsidRDefault="00EE7645">
      <w:pPr>
        <w:pStyle w:val="ListBullet"/>
      </w:pPr>
      <w:r>
        <w:t>Do not judge success solely from ALLOW/BLOCK accuracy.</w:t>
      </w:r>
    </w:p>
    <w:p w14:paraId="15F1CC2F" w14:textId="77777777" w:rsidR="00AC7A76" w:rsidRDefault="00EE7645">
      <w:pPr>
        <w:pStyle w:val="ListBullet"/>
      </w:pPr>
      <w:r>
        <w:t>Preserve the distinction between implementation failure, representational limitation, evidence limitation, and legitimate model behavior.</w:t>
      </w:r>
    </w:p>
    <w:p w14:paraId="7832F333" w14:textId="77777777" w:rsidR="00AC7A76" w:rsidRDefault="00EE7645">
      <w:pPr>
        <w:pStyle w:val="ListBullet"/>
      </w:pPr>
      <w:r>
        <w:t>If a case breaks V2, preserve the exact distinction V2 could not represent before considering remediation.</w:t>
      </w:r>
    </w:p>
    <w:p w14:paraId="55A8DA58" w14:textId="77777777" w:rsidR="00AC7A76" w:rsidRDefault="00EE7645">
      <w:pPr>
        <w:pStyle w:val="ListBullet"/>
      </w:pPr>
      <w:r>
        <w:t>If V2 survives, only then revisit whether the upstream standing question has earned a separate experiment.</w:t>
      </w:r>
    </w:p>
    <w:p w14:paraId="49CD54AF" w14:textId="77777777" w:rsidR="00AC7A76" w:rsidRDefault="00EE7645">
      <w:pPr>
        <w:pStyle w:val="Heading1"/>
      </w:pPr>
      <w:r>
        <w:t>Why this agenda matters</w:t>
      </w:r>
    </w:p>
    <w:p w14:paraId="65369AEF" w14:textId="77777777" w:rsidR="00AC7A76" w:rsidRDefault="00EE7645">
      <w:r>
        <w:t>These attacks move evaluation beyond binary outcome correctness. They probe whether the enforceable authority boundary is genuinely causal, whether authority remains current over time, whether different causal failures remain distinguishable, and whether equivalent outcomes can be separated by the legitimacy of the authority path that produced them.</w:t>
      </w:r>
    </w:p>
    <w:p w14:paraId="7AE2A919" w14:textId="77777777" w:rsidR="00AC7A76" w:rsidRDefault="00EE7645">
      <w:r>
        <w:t>A failure under one of these attacks would not automatically invalidate the broader authority model. It would identify a specific distinction that the current V2 representation cannot carry. That result should be treated as experimental evidence, not hidden by introducing V3 concepts prematurely.</w:t>
      </w:r>
    </w:p>
    <w:p w14:paraId="647E21F6" w14:textId="77777777" w:rsidR="00AC7A76" w:rsidRDefault="00EE7645">
      <w:pPr>
        <w:pStyle w:val="Heading1"/>
      </w:pPr>
      <w:r>
        <w:t>Relationship to candidate V3 research</w:t>
      </w:r>
    </w:p>
    <w:p w14:paraId="55E9BA33" w14:textId="77777777" w:rsidR="00AC7A76" w:rsidRDefault="00EE7645">
      <w:r>
        <w:t>A separate parked research note exists for possible Version 3 questions concerning authority-to-authorize, actor standing, bounded grantor authority, exceptional authority paths, escalation, and cumulative/sequence circumvention. Those ideas are intentionally excluded from this V2 attack agenda.</w:t>
      </w:r>
    </w:p>
    <w:p w14:paraId="02991C95" w14:textId="77777777" w:rsidR="00AC7A76" w:rsidRDefault="00EE7645">
      <w:r>
        <w:rPr>
          <w:b/>
          <w:color w:val="1F4E79"/>
        </w:rPr>
        <w:t>Working rule: V2 first. No rescue from V3.</w:t>
      </w:r>
    </w:p>
    <w:sectPr w:rsidR="00AC7A7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AF51C2" w14:textId="77777777" w:rsidR="00EE7645" w:rsidRDefault="00EE7645">
      <w:pPr>
        <w:spacing w:after="0" w:line="240" w:lineRule="auto"/>
      </w:pPr>
      <w:r>
        <w:separator/>
      </w:r>
    </w:p>
  </w:endnote>
  <w:endnote w:type="continuationSeparator" w:id="0">
    <w:p w14:paraId="3605E525" w14:textId="77777777" w:rsidR="00EE7645" w:rsidRDefault="00EE7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95B1F" w14:textId="77777777" w:rsidR="00AC7A76" w:rsidRDefault="00EE7645">
    <w:pPr>
      <w:pStyle w:val="Footer"/>
      <w:jc w:val="center"/>
    </w:pPr>
    <w:r>
      <w:rPr>
        <w:color w:val="646464"/>
        <w:sz w:val="16"/>
      </w:rPr>
      <w:t>External adversarial review agenda — preserved for future V2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05257D" w14:textId="77777777" w:rsidR="00EE7645" w:rsidRDefault="00EE7645">
      <w:pPr>
        <w:spacing w:after="0" w:line="240" w:lineRule="auto"/>
      </w:pPr>
      <w:r>
        <w:separator/>
      </w:r>
    </w:p>
  </w:footnote>
  <w:footnote w:type="continuationSeparator" w:id="0">
    <w:p w14:paraId="0286BA4A" w14:textId="77777777" w:rsidR="00EE7645" w:rsidRDefault="00EE7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449759">
    <w:abstractNumId w:val="8"/>
  </w:num>
  <w:num w:numId="2" w16cid:durableId="1635984900">
    <w:abstractNumId w:val="6"/>
  </w:num>
  <w:num w:numId="3" w16cid:durableId="431974559">
    <w:abstractNumId w:val="5"/>
  </w:num>
  <w:num w:numId="4" w16cid:durableId="1389376398">
    <w:abstractNumId w:val="4"/>
  </w:num>
  <w:num w:numId="5" w16cid:durableId="670717832">
    <w:abstractNumId w:val="7"/>
  </w:num>
  <w:num w:numId="6" w16cid:durableId="1918593904">
    <w:abstractNumId w:val="3"/>
  </w:num>
  <w:num w:numId="7" w16cid:durableId="291786347">
    <w:abstractNumId w:val="2"/>
  </w:num>
  <w:num w:numId="8" w16cid:durableId="547231372">
    <w:abstractNumId w:val="1"/>
  </w:num>
  <w:num w:numId="9" w16cid:durableId="16525563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E01"/>
    <w:rsid w:val="00AA1D8D"/>
    <w:rsid w:val="00AC7A76"/>
    <w:rsid w:val="00B47730"/>
    <w:rsid w:val="00CB0664"/>
    <w:rsid w:val="00EE7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FB6A9"/>
  <w14:defaultImageDpi w14:val="300"/>
  <w15:docId w15:val="{9C24F0D7-1852-F144-B972-A9F75C5B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2026-08-30T16:45:00Z</dcterms:created>
  <dcterms:modified xsi:type="dcterms:W3CDTF">2026-08-30T16:45:00Z</dcterms:modified>
  <cp:category/>
</cp:coreProperties>
</file>