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232323"/>
        </w:rPr>
        <w:t>Claude / Wojciech V2 Cross-Review Adjudication</w:t>
      </w:r>
    </w:p>
    <w:p>
      <w:pPr>
        <w:spacing w:after="280"/>
      </w:pPr>
      <w:r>
        <w:rPr>
          <w:i/>
          <w:color w:val="5A5A5A"/>
          <w:sz w:val="22"/>
        </w:rPr>
        <w:t>Final evidence synthesis after independent review and controlled post-disclosure comparison</w:t>
      </w:r>
    </w:p>
    <w:tbl>
      <w:tblPr>
        <w:tblW w:type="auto" w:w="0"/>
        <w:jc w:val="left"/>
        <w:tblLayout w:type="fixed"/>
        <w:tblLook w:firstColumn="1" w:firstRow="1" w:lastColumn="0" w:lastRow="0" w:noHBand="0" w:noVBand="1" w:val="04A0"/>
      </w:tblPr>
      <w:tblGrid>
        <w:gridCol w:w="4939"/>
        <w:gridCol w:w="4939"/>
      </w:tblGrid>
      <w:tr>
        <w:tc>
          <w:tcPr>
            <w:tcW w:type="dxa" w:w="4939"/>
            <w:tcMar>
              <w:top w:w="80" w:type="dxa"/>
              <w:start w:w="120" w:type="dxa"/>
              <w:bottom w:w="80" w:type="dxa"/>
              <w:end w:w="120" w:type="dxa"/>
            </w:tcMar>
            <w:vAlign w:val="center"/>
          </w:tcPr>
          <w:p>
            <w:r>
              <w:rPr>
                <w:b/>
              </w:rPr>
              <w:t>Document status</w:t>
            </w:r>
          </w:p>
        </w:tc>
        <w:tc>
          <w:tcPr>
            <w:tcW w:type="dxa" w:w="4939"/>
            <w:tcMar>
              <w:top w:w="80" w:type="dxa"/>
              <w:start w:w="120" w:type="dxa"/>
              <w:bottom w:w="80" w:type="dxa"/>
              <w:end w:w="120" w:type="dxa"/>
            </w:tcMar>
            <w:vAlign w:val="center"/>
          </w:tcPr>
          <w:p>
            <w:r>
              <w:t>Post-freeze cross-review adjudication</w:t>
            </w:r>
          </w:p>
        </w:tc>
      </w:tr>
      <w:tr>
        <w:tc>
          <w:tcPr>
            <w:tcW w:type="dxa" w:w="4939"/>
            <w:tcMar>
              <w:top w:w="80" w:type="dxa"/>
              <w:start w:w="120" w:type="dxa"/>
              <w:bottom w:w="80" w:type="dxa"/>
              <w:end w:w="120" w:type="dxa"/>
            </w:tcMar>
            <w:vAlign w:val="center"/>
          </w:tcPr>
          <w:p>
            <w:r>
              <w:rPr>
                <w:b/>
              </w:rPr>
              <w:t>Frozen V2 release</w:t>
            </w:r>
          </w:p>
        </w:tc>
        <w:tc>
          <w:tcPr>
            <w:tcW w:type="dxa" w:w="4939"/>
            <w:tcMar>
              <w:top w:w="80" w:type="dxa"/>
              <w:start w:w="120" w:type="dxa"/>
              <w:bottom w:w="80" w:type="dxa"/>
              <w:end w:w="120" w:type="dxa"/>
            </w:tcMar>
            <w:vAlign w:val="center"/>
          </w:tcPr>
          <w:p>
            <w:r>
              <w:t>v2.0.0 - bf28fe7cecdc7c406b96b574377abbc220e765d6</w:t>
            </w:r>
          </w:p>
        </w:tc>
      </w:tr>
      <w:tr>
        <w:tc>
          <w:tcPr>
            <w:tcW w:type="dxa" w:w="4939"/>
            <w:tcMar>
              <w:top w:w="80" w:type="dxa"/>
              <w:start w:w="120" w:type="dxa"/>
              <w:bottom w:w="80" w:type="dxa"/>
              <w:end w:w="120" w:type="dxa"/>
            </w:tcMar>
            <w:vAlign w:val="center"/>
          </w:tcPr>
          <w:p>
            <w:r>
              <w:rPr>
                <w:b/>
              </w:rPr>
              <w:t>Reviewer independence</w:t>
            </w:r>
          </w:p>
        </w:tc>
        <w:tc>
          <w:tcPr>
            <w:tcW w:type="dxa" w:w="4939"/>
            <w:tcMar>
              <w:top w:w="80" w:type="dxa"/>
              <w:start w:w="120" w:type="dxa"/>
              <w:bottom w:w="80" w:type="dxa"/>
              <w:end w:w="120" w:type="dxa"/>
            </w:tcMar>
            <w:vAlign w:val="center"/>
          </w:tcPr>
          <w:p>
            <w:r>
              <w:t>Claude and Wojciech findings were frozen independently before cross-disclosure</w:t>
            </w:r>
          </w:p>
        </w:tc>
      </w:tr>
      <w:tr>
        <w:tc>
          <w:tcPr>
            <w:tcW w:type="dxa" w:w="4939"/>
            <w:tcMar>
              <w:top w:w="80" w:type="dxa"/>
              <w:start w:w="120" w:type="dxa"/>
              <w:bottom w:w="80" w:type="dxa"/>
              <w:end w:w="120" w:type="dxa"/>
            </w:tcMar>
            <w:vAlign w:val="center"/>
          </w:tcPr>
          <w:p>
            <w:r>
              <w:rPr>
                <w:b/>
              </w:rPr>
              <w:t>Authority effect</w:t>
            </w:r>
          </w:p>
        </w:tc>
        <w:tc>
          <w:tcPr>
            <w:tcW w:type="dxa" w:w="4939"/>
            <w:tcMar>
              <w:top w:w="80" w:type="dxa"/>
              <w:start w:w="120" w:type="dxa"/>
              <w:bottom w:w="80" w:type="dxa"/>
              <w:end w:w="120" w:type="dxa"/>
            </w:tcMar>
            <w:vAlign w:val="center"/>
          </w:tcPr>
          <w:p>
            <w:r>
              <w:t>No V2 software, frozen reviewer artifact, test result, or prior finding is amended by this document</w:t>
            </w:r>
          </w:p>
        </w:tc>
      </w:tr>
    </w:tbl>
    <w:p>
      <w:pPr>
        <w:spacing w:before="0" w:after="120"/>
      </w:pPr>
      <w:r>
        <w:rPr>
          <w:b w:val="0"/>
          <w:i w:val="0"/>
        </w:rPr>
      </w:r>
    </w:p>
    <w:p>
      <w:pPr>
        <w:pStyle w:val="Heading1"/>
        <w:keepNext/>
      </w:pPr>
      <w:r>
        <w:t>1. Purpose and claims discipline</w:t>
      </w:r>
    </w:p>
    <w:p>
      <w:pPr>
        <w:spacing w:before="0" w:after="120"/>
      </w:pPr>
      <w:r>
        <w:rPr>
          <w:b w:val="0"/>
          <w:i w:val="0"/>
        </w:rPr>
        <w:t>This document adjudicates the combined evidence produced by two independent adversarial reviews of Operational AI Authority Test Harness V2.0.0. It does not rewrite either review, retrospectively repair V2, or convert reviewer observations into claims stronger than the evidence supports.</w:t>
      </w:r>
    </w:p>
    <w:p>
      <w:pPr>
        <w:spacing w:before="0" w:after="120"/>
      </w:pPr>
      <w:r>
        <w:rPr>
          <w:b w:val="0"/>
          <w:i w:val="0"/>
        </w:rPr>
        <w:t>The harness remains a test harness rather than a proof machine. Findings below therefore distinguish what was observed or demonstrated in the represented and tested system from what remains unsupported, unresolved, outside representation, or a research question.</w:t>
      </w:r>
    </w:p>
    <w:p>
      <w:pPr>
        <w:pStyle w:val="Heading1"/>
        <w:keepNext/>
      </w:pPr>
      <w:r>
        <w:t>2. Evidence provenance and sequencing</w:t>
      </w:r>
    </w:p>
    <w:p>
      <w:pPr>
        <w:spacing w:before="0" w:after="120"/>
      </w:pPr>
      <w:r>
        <w:rPr>
          <w:b w:val="0"/>
          <w:i w:val="0"/>
        </w:rPr>
        <w:t>The evidentiary sequence matters because the value of convergence depends on preserving reviewer independence. The final synthesis therefore separates five phases.</w:t>
      </w:r>
    </w:p>
    <w:p>
      <w:pPr>
        <w:spacing w:after="100"/>
      </w:pPr>
      <w:r>
        <w:rPr>
          <w:b/>
        </w:rPr>
        <w:t xml:space="preserve">A. Claude independent evidence: </w:t>
      </w:r>
      <w:r>
        <w:t>Claude's frozen adversarial review and supporting case/evidence records.</w:t>
      </w:r>
    </w:p>
    <w:p>
      <w:pPr>
        <w:spacing w:after="100"/>
      </w:pPr>
      <w:r>
        <w:rPr>
          <w:b/>
        </w:rPr>
        <w:t xml:space="preserve">B. Wojciech frozen independent evidence: </w:t>
      </w:r>
      <w:r>
        <w:t>Wojciech's final independent adversarial assessment, confirmed final and frozen before disclosure of Claude's review.</w:t>
      </w:r>
    </w:p>
    <w:p>
      <w:pPr>
        <w:spacing w:after="100"/>
      </w:pPr>
      <w:r>
        <w:rPr>
          <w:b/>
        </w:rPr>
        <w:t xml:space="preserve">C. Pre-disclosure cross-review synthesis: </w:t>
      </w:r>
      <w:r>
        <w:t>The earlier Claude/Wojciech adjudication prepared before Wojciech saw Claude's review. Git history preserves that synthesis.</w:t>
      </w:r>
    </w:p>
    <w:p>
      <w:pPr>
        <w:spacing w:after="100"/>
      </w:pPr>
      <w:r>
        <w:rPr>
          <w:b/>
        </w:rPr>
        <w:t xml:space="preserve">D. Wojciech post-disclosure analysis: </w:t>
      </w:r>
      <w:r>
        <w:t>Wojciech's reaction after reading Claude as a separate evidence stream and before seeing the cross-review comparison. His frozen V2 assessment explicitly did not change.</w:t>
      </w:r>
    </w:p>
    <w:p>
      <w:pPr>
        <w:spacing w:after="100"/>
      </w:pPr>
      <w:r>
        <w:rPr>
          <w:b/>
        </w:rPr>
        <w:t xml:space="preserve">E. Final cross-review adjudication: </w:t>
      </w:r>
      <w:r>
        <w:t>This document: a synthesis of convergence, divergence, layer-dependent findings, unresolved questions, and the new post-disclosure fidelity question.</w:t>
      </w:r>
    </w:p>
    <w:p>
      <w:pPr>
        <w:spacing w:before="0" w:after="120"/>
      </w:pPr>
      <w:r>
        <w:rPr>
          <w:b w:val="0"/>
          <w:i w:val="0"/>
        </w:rPr>
        <w:t>Post-disclosure observations are labeled as synthesis. They are not retrospectively attributed to either reviewer as part of that reviewer's frozen independent findings.</w:t>
      </w:r>
    </w:p>
    <w:p>
      <w:pPr>
        <w:pStyle w:val="Heading1"/>
        <w:keepNext/>
      </w:pPr>
      <w:r>
        <w:t>3. Central V2 result</w:t>
      </w:r>
    </w:p>
    <w:p>
      <w:pPr>
        <w:spacing w:before="0" w:after="100"/>
      </w:pPr>
      <w:r>
        <w:rPr>
          <w:b/>
          <w:i w:val="0"/>
          <w:color w:val="1F4E79"/>
        </w:rPr>
        <w:t>ADJUDICATION - SURVIVES WITHIN REPRESENTED AND TESTED SCOPE</w:t>
      </w:r>
    </w:p>
    <w:p>
      <w:pPr>
        <w:spacing w:before="0" w:after="120"/>
      </w:pPr>
      <w:r>
        <w:rPr>
          <w:b w:val="0"/>
          <w:i w:val="0"/>
        </w:rPr>
        <w:t>The combined independent evidence supports the central V2 result: an organizational authority decision can be translated into an enforceable boundary that causally controls execution. Claude's inside/outside and matched-pair results independently support the conclusion that the boundary is causal rather than decorative. Wojciech's independent attacks likewise did not identify a path in which a non-ACTIVE authority state created a new executable boundary.</w:t>
      </w:r>
    </w:p>
    <w:p>
      <w:pPr>
        <w:spacing w:before="0" w:after="120"/>
      </w:pPr>
      <w:r>
        <w:rPr>
          <w:b w:val="0"/>
          <w:i w:val="0"/>
        </w:rPr>
        <w:t>This result is bounded. It does not establish that the organization selected the correct authority boundary, that every causal explanation recorded by the implementation is faithful, or that authority remains valid across temporal or provenance conditions V2 does not independently represent.</w:t>
      </w:r>
    </w:p>
    <w:p>
      <w:pPr>
        <w:pStyle w:val="Heading1"/>
        <w:keepNext/>
      </w:pPr>
      <w:r>
        <w:t>4. Direct convergence</w:t>
      </w:r>
    </w:p>
    <w:p>
      <w:pPr>
        <w:pStyle w:val="Heading2"/>
        <w:keepNext/>
      </w:pPr>
      <w:r>
        <w:t>4.1 Enforceable boundary is causal, not decorative</w:t>
      </w:r>
    </w:p>
    <w:p>
      <w:pPr>
        <w:spacing w:before="0" w:after="120"/>
      </w:pPr>
      <w:r>
        <w:rPr>
          <w:b w:val="0"/>
          <w:i w:val="0"/>
        </w:rPr>
        <w:t>Both evidence streams support the proposition that execution changes when the enforceable authority boundary changes. This is the strongest direct convergence on V2's central experimental hypothesis.</w:t>
      </w:r>
    </w:p>
    <w:p>
      <w:pPr>
        <w:pStyle w:val="Heading2"/>
        <w:keepNext/>
      </w:pPr>
      <w:r>
        <w:t>4.2 No demonstrated zero-authority execution bypass</w:t>
      </w:r>
    </w:p>
    <w:p>
      <w:pPr>
        <w:spacing w:before="0" w:after="120"/>
      </w:pPr>
      <w:r>
        <w:rPr>
          <w:b w:val="0"/>
          <w:i w:val="0"/>
        </w:rPr>
        <w:t>Across the reviewed ordinary paths, neither reviewer demonstrated an ALLOW produced from a zero-authority state. Wojciech independently found that non-ACTIVE authority cannot create a new executable boundary.</w:t>
      </w:r>
    </w:p>
    <w:p>
      <w:pPr>
        <w:pStyle w:val="Heading2"/>
        <w:keepNext/>
      </w:pPr>
      <w:r>
        <w:t>4.3 Correct enforcement is not correct organizational specification</w:t>
      </w:r>
    </w:p>
    <w:p>
      <w:pPr>
        <w:spacing w:before="0" w:after="120"/>
      </w:pPr>
      <w:r>
        <w:rPr>
          <w:b w:val="0"/>
          <w:i w:val="0"/>
        </w:rPr>
        <w:t>Both reviews preserve the distinction between faithfully enforcing a represented boundary and proving that the organization chose the correct boundary in the first place. Procurement is the clearest evidence for this distinction.</w:t>
      </w:r>
    </w:p>
    <w:p>
      <w:pPr>
        <w:pStyle w:val="Heading1"/>
        <w:keepNext/>
      </w:pPr>
      <w:r>
        <w:t>5. Claude F-1: safe outcome, wrong causal narrative</w:t>
      </w:r>
    </w:p>
    <w:p>
      <w:pPr>
        <w:spacing w:before="0" w:after="100"/>
      </w:pPr>
      <w:r>
        <w:rPr>
          <w:b/>
          <w:i w:val="0"/>
          <w:color w:val="1F4E79"/>
        </w:rPr>
        <w:t>ADJUDICATION - PROBABLE IMPLEMENTATION / EVIDENCE-INTEGRITY DEFECT</w:t>
      </w:r>
    </w:p>
    <w:p>
      <w:pPr>
        <w:spacing w:before="0" w:after="120"/>
      </w:pPr>
      <w:r>
        <w:rPr>
          <w:b w:val="0"/>
          <w:i w:val="0"/>
        </w:rPr>
        <w:t>Claude found a Refund path in which an empty transfer-owner string produced a safe BLOCK while the materiality/authority narrative was inconsistent with the actual causal state. The observed safety outcome therefore does not erase the evidence-integrity problem.</w:t>
      </w:r>
    </w:p>
    <w:p>
      <w:pPr>
        <w:spacing w:before="0" w:after="120"/>
      </w:pPr>
      <w:r>
        <w:rPr>
          <w:b w:val="0"/>
          <w:i w:val="0"/>
        </w:rPr>
        <w:t>Wojciech's frozen finding that V2 preserves distinct BLOCK reasons remains intact. His post-disclosure analysis sharpens the interpretation: structural distinguishability of execution reasons does not by itself guarantee causal evidence fidelity.</w:t>
      </w:r>
    </w:p>
    <w:p>
      <w:pPr>
        <w:pStyle w:val="Heading2"/>
        <w:keepNext/>
      </w:pPr>
      <w:r>
        <w:t>5.1 Layered interpretation</w:t>
      </w:r>
    </w:p>
    <w:tbl>
      <w:tblPr>
        <w:tblW w:type="auto" w:w="0"/>
        <w:jc w:val="center"/>
        <w:tblLayout w:type="fixed"/>
        <w:tblLook w:firstColumn="1" w:firstRow="1" w:lastColumn="0" w:lastRow="0" w:noHBand="0" w:noVBand="1" w:val="04A0"/>
      </w:tblPr>
      <w:tblGrid>
        <w:gridCol w:w="3293"/>
        <w:gridCol w:w="3293"/>
        <w:gridCol w:w="3293"/>
      </w:tblGrid>
      <w:tr>
        <w:tc>
          <w:tcPr>
            <w:tcW w:type="dxa" w:w="2952"/>
            <w:vAlign w:val="center"/>
            <w:shd w:fill="D9EAF7"/>
            <w:tcMar>
              <w:top w:w="100" w:type="dxa"/>
              <w:start w:w="120" w:type="dxa"/>
              <w:bottom w:w="100" w:type="dxa"/>
              <w:end w:w="120" w:type="dxa"/>
            </w:tcMar>
          </w:tcPr>
          <w:p>
            <w:pPr>
              <w:jc w:val="center"/>
            </w:pPr>
            <w:r>
              <w:rPr>
                <w:b/>
              </w:rPr>
              <w:t>Issue</w:t>
            </w:r>
          </w:p>
        </w:tc>
        <w:tc>
          <w:tcPr>
            <w:tcW w:type="dxa" w:w="3024"/>
            <w:vAlign w:val="center"/>
            <w:shd w:fill="D9EAF7"/>
            <w:tcMar>
              <w:top w:w="100" w:type="dxa"/>
              <w:start w:w="120" w:type="dxa"/>
              <w:bottom w:w="100" w:type="dxa"/>
              <w:end w:w="120" w:type="dxa"/>
            </w:tcMar>
          </w:tcPr>
          <w:p>
            <w:pPr>
              <w:jc w:val="center"/>
            </w:pPr>
            <w:r>
              <w:rPr>
                <w:b/>
              </w:rPr>
              <w:t>Adjudication</w:t>
            </w:r>
          </w:p>
        </w:tc>
        <w:tc>
          <w:tcPr>
            <w:tcW w:type="dxa" w:w="4464"/>
            <w:vAlign w:val="center"/>
            <w:shd w:fill="D9EAF7"/>
            <w:tcMar>
              <w:top w:w="100" w:type="dxa"/>
              <w:start w:w="120" w:type="dxa"/>
              <w:bottom w:w="100" w:type="dxa"/>
              <w:end w:w="120" w:type="dxa"/>
            </w:tcMar>
          </w:tcPr>
          <w:p>
            <w:pPr>
              <w:jc w:val="center"/>
            </w:pPr>
            <w:r>
              <w:rPr>
                <w:b/>
              </w:rPr>
              <w:t>Claims boundary</w:t>
            </w:r>
          </w:p>
        </w:tc>
      </w:tr>
      <w:tr>
        <w:tc>
          <w:tcPr>
            <w:tcW w:type="dxa" w:w="2952"/>
            <w:vAlign w:val="center"/>
            <w:tcMar>
              <w:top w:w="100" w:type="dxa"/>
              <w:start w:w="120" w:type="dxa"/>
              <w:bottom w:w="100" w:type="dxa"/>
              <w:end w:w="120" w:type="dxa"/>
            </w:tcMar>
          </w:tcPr>
          <w:p>
            <w:pPr>
              <w:jc w:val="left"/>
            </w:pPr>
            <w:r>
              <w:t>Execution outcome</w:t>
            </w:r>
          </w:p>
        </w:tc>
        <w:tc>
          <w:tcPr>
            <w:tcW w:type="dxa" w:w="3024"/>
            <w:vAlign w:val="center"/>
            <w:tcMar>
              <w:top w:w="100" w:type="dxa"/>
              <w:start w:w="120" w:type="dxa"/>
              <w:bottom w:w="100" w:type="dxa"/>
              <w:end w:w="120" w:type="dxa"/>
            </w:tcMar>
          </w:tcPr>
          <w:p>
            <w:pPr>
              <w:jc w:val="center"/>
            </w:pPr>
            <w:r>
              <w:t>Safe BLOCK</w:t>
            </w:r>
          </w:p>
        </w:tc>
        <w:tc>
          <w:tcPr>
            <w:tcW w:type="dxa" w:w="4464"/>
            <w:vAlign w:val="center"/>
            <w:tcMar>
              <w:top w:w="100" w:type="dxa"/>
              <w:start w:w="120" w:type="dxa"/>
              <w:bottom w:w="100" w:type="dxa"/>
              <w:end w:w="120" w:type="dxa"/>
            </w:tcMar>
          </w:tcPr>
          <w:p>
            <w:pPr>
              <w:jc w:val="left"/>
            </w:pPr>
            <w:r>
              <w:t>No unauthorized ALLOW was demonstrated by F-1.</w:t>
            </w:r>
          </w:p>
        </w:tc>
      </w:tr>
      <w:tr>
        <w:tc>
          <w:tcPr>
            <w:tcW w:type="dxa" w:w="2952"/>
            <w:vAlign w:val="center"/>
            <w:tcMar>
              <w:top w:w="100" w:type="dxa"/>
              <w:start w:w="120" w:type="dxa"/>
              <w:bottom w:w="100" w:type="dxa"/>
              <w:end w:w="120" w:type="dxa"/>
            </w:tcMar>
          </w:tcPr>
          <w:p>
            <w:pPr>
              <w:jc w:val="left"/>
            </w:pPr>
            <w:r>
              <w:t>Structural reason capacity</w:t>
            </w:r>
          </w:p>
        </w:tc>
        <w:tc>
          <w:tcPr>
            <w:tcW w:type="dxa" w:w="3024"/>
            <w:vAlign w:val="center"/>
            <w:tcMar>
              <w:top w:w="100" w:type="dxa"/>
              <w:start w:w="120" w:type="dxa"/>
              <w:bottom w:w="100" w:type="dxa"/>
              <w:end w:w="120" w:type="dxa"/>
            </w:tcMar>
          </w:tcPr>
          <w:p>
            <w:pPr>
              <w:jc w:val="center"/>
            </w:pPr>
            <w:r>
              <w:t>SURVIVES</w:t>
            </w:r>
          </w:p>
        </w:tc>
        <w:tc>
          <w:tcPr>
            <w:tcW w:type="dxa" w:w="4464"/>
            <w:vAlign w:val="center"/>
            <w:tcMar>
              <w:top w:w="100" w:type="dxa"/>
              <w:start w:w="120" w:type="dxa"/>
              <w:bottom w:w="100" w:type="dxa"/>
              <w:end w:w="120" w:type="dxa"/>
            </w:tcMar>
          </w:tcPr>
          <w:p>
            <w:pPr>
              <w:jc w:val="left"/>
            </w:pPr>
            <w:r>
              <w:t>V2 can preserve distinct reasons for BLOCK.</w:t>
            </w:r>
          </w:p>
        </w:tc>
      </w:tr>
      <w:tr>
        <w:tc>
          <w:tcPr>
            <w:tcW w:type="dxa" w:w="2952"/>
            <w:vAlign w:val="center"/>
            <w:tcMar>
              <w:top w:w="100" w:type="dxa"/>
              <w:start w:w="120" w:type="dxa"/>
              <w:bottom w:w="100" w:type="dxa"/>
              <w:end w:w="120" w:type="dxa"/>
            </w:tcMar>
          </w:tcPr>
          <w:p>
            <w:pPr>
              <w:jc w:val="left"/>
            </w:pPr>
            <w:r>
              <w:t>Causal evidence fidelity</w:t>
            </w:r>
          </w:p>
        </w:tc>
        <w:tc>
          <w:tcPr>
            <w:tcW w:type="dxa" w:w="3024"/>
            <w:vAlign w:val="center"/>
            <w:tcMar>
              <w:top w:w="100" w:type="dxa"/>
              <w:start w:w="120" w:type="dxa"/>
              <w:bottom w:w="100" w:type="dxa"/>
              <w:end w:w="120" w:type="dxa"/>
            </w:tcMar>
          </w:tcPr>
          <w:p>
            <w:pPr>
              <w:jc w:val="center"/>
            </w:pPr>
            <w:r>
              <w:t>DEFECT INDICATED</w:t>
            </w:r>
          </w:p>
        </w:tc>
        <w:tc>
          <w:tcPr>
            <w:tcW w:type="dxa" w:w="4464"/>
            <w:vAlign w:val="center"/>
            <w:tcMar>
              <w:top w:w="100" w:type="dxa"/>
              <w:start w:w="120" w:type="dxa"/>
              <w:bottom w:w="100" w:type="dxa"/>
              <w:end w:w="120" w:type="dxa"/>
            </w:tcMar>
          </w:tcPr>
          <w:p>
            <w:pPr>
              <w:jc w:val="left"/>
            </w:pPr>
            <w:r>
              <w:t>A particular implementation path can misdescribe why the authority state arose.</w:t>
            </w:r>
          </w:p>
        </w:tc>
      </w:tr>
    </w:tbl>
    <w:p/>
    <w:p>
      <w:pPr>
        <w:spacing w:before="0" w:after="120"/>
      </w:pPr>
      <w:r>
        <w:rPr>
          <w:b w:val="0"/>
          <w:i w:val="0"/>
        </w:rPr>
        <w:t>These statements are compatible rather than contradictory. A system may reach a safe execution result, possess a structure capable of distinguishing reasons, and still emit an incorrect causal account for a particular state transition.</w:t>
      </w:r>
    </w:p>
    <w:p>
      <w:pPr>
        <w:pStyle w:val="Heading1"/>
        <w:keepNext/>
      </w:pPr>
      <w:r>
        <w:t>6. Procurement F-2: unresolved governing semantics</w:t>
      </w:r>
    </w:p>
    <w:p>
      <w:pPr>
        <w:spacing w:before="0" w:after="100"/>
      </w:pPr>
      <w:r>
        <w:rPr>
          <w:b/>
          <w:i w:val="0"/>
          <w:color w:val="1F4E79"/>
        </w:rPr>
        <w:t>ADJUDICATION - SPECIFICATION / EXPERIMENTAL-SEMANTICS QUESTION; UNRESOLVED</w:t>
      </w:r>
    </w:p>
    <w:p>
      <w:pPr>
        <w:spacing w:before="0" w:after="120"/>
      </w:pPr>
      <w:r>
        <w:rPr>
          <w:b w:val="0"/>
          <w:i w:val="0"/>
        </w:rPr>
        <w:t>Claude observed that RENEW followed the selected governed metric while NARROW remained attached to equipmentPriceCents. The observation is real, but the available governing evidence does not resolve whether NARROW should follow the newly selected current metric or intentionally remain attached to the prior authority basis while RENEW changes the governed basis.</w:t>
      </w:r>
    </w:p>
    <w:p>
      <w:pPr>
        <w:spacing w:before="0" w:after="120"/>
      </w:pPr>
      <w:r>
        <w:rPr>
          <w:b w:val="0"/>
          <w:i w:val="0"/>
        </w:rPr>
        <w:t>Wojciech independently reached the same post-disclosure classification: F-2 should not yet be accepted as a confirmed implementation defect. The correct disposition is unresolved pending governing-specification adjudication.</w:t>
      </w:r>
    </w:p>
    <w:p>
      <w:pPr>
        <w:spacing w:before="0" w:after="120"/>
      </w:pPr>
      <w:r>
        <w:rPr>
          <w:b w:val="0"/>
          <w:i w:val="0"/>
        </w:rPr>
        <w:t>Accordingly, this document does not classify F-2 as PASS, implementation defect, or legitimate intended behavior. The oracle itself is unresolved.</w:t>
      </w:r>
    </w:p>
    <w:p>
      <w:pPr>
        <w:pStyle w:val="Heading1"/>
        <w:keepNext/>
      </w:pPr>
      <w:r>
        <w:t>7. ACCESS anomaly and temporal continuity are adjacent, not identical</w:t>
      </w:r>
    </w:p>
    <w:p>
      <w:pPr>
        <w:pStyle w:val="Heading2"/>
        <w:keepNext/>
      </w:pPr>
      <w:r>
        <w:t>7.1 Claude ACCESS observation</w:t>
      </w:r>
    </w:p>
    <w:p>
      <w:pPr>
        <w:spacing w:before="0" w:after="120"/>
      </w:pPr>
      <w:r>
        <w:rPr>
          <w:b w:val="0"/>
          <w:i w:val="0"/>
        </w:rPr>
        <w:t>Claude reported a possible state/history propagation anomaly that was not cleanly reproduced. It remains REVIEW REQUIRED rather than a confirmed implementation defect.</w:t>
      </w:r>
    </w:p>
    <w:p>
      <w:pPr>
        <w:pStyle w:val="Heading2"/>
        <w:keepNext/>
      </w:pPr>
      <w:r>
        <w:t>7.2 Wojciech temporal-continuity finding</w:t>
      </w:r>
    </w:p>
    <w:p>
      <w:pPr>
        <w:spacing w:before="0" w:after="120"/>
      </w:pPr>
      <w:r>
        <w:rPr>
          <w:b w:val="0"/>
          <w:i w:val="0"/>
        </w:rPr>
        <w:t>Wojciech's finding is architectural: V2 does not represent the t0 -&gt; t1 -&gt; t2 transition in which valid authority creates a boundary, the source authority later becomes stale, and that previously created boundary is then presented for execution.</w:t>
      </w:r>
    </w:p>
    <w:p>
      <w:pPr>
        <w:spacing w:before="0" w:after="120"/>
      </w:pPr>
      <w:r>
        <w:rPr>
          <w:b w:val="0"/>
          <w:i w:val="0"/>
        </w:rPr>
        <w:t>Wojciech explicitly kept Claude's ACCESS observation separate after disclosure. The two findings are adjacent because both involve state over time, but they are not the same evidence and should not be collapsed.</w:t>
      </w:r>
    </w:p>
    <w:p>
      <w:pPr>
        <w:pStyle w:val="Heading1"/>
        <w:keepNext/>
      </w:pPr>
      <w:r>
        <w:t>8. Wojciech-only representation boundaries and research limits</w:t>
      </w:r>
    </w:p>
    <w:p>
      <w:pPr>
        <w:spacing w:after="100"/>
      </w:pPr>
      <w:r>
        <w:rPr>
          <w:b/>
        </w:rPr>
        <w:t xml:space="preserve">Temporal continuity/currentness: </w:t>
      </w:r>
      <w:r>
        <w:t>V2 preserves authority validity at boundary creation but does not independently represent continuing source-authority validity through a later state transition.</w:t>
      </w:r>
    </w:p>
    <w:p>
      <w:pPr>
        <w:spacing w:after="100"/>
      </w:pPr>
      <w:r>
        <w:rPr>
          <w:b/>
        </w:rPr>
        <w:t xml:space="preserve">Governing provenance: </w:t>
      </w:r>
      <w:r>
        <w:t>Authority lineage is recorded and auditable, but after boundary creation it is not independently consumed as an execution predicate. This is an execution-layer discrimination limit, not evidence that the normal governed V2 pipeline can manufacture illegitimate lineage.</w:t>
      </w:r>
    </w:p>
    <w:p>
      <w:pPr>
        <w:spacing w:after="100"/>
      </w:pPr>
      <w:r>
        <w:rPr>
          <w:b/>
        </w:rPr>
        <w:t xml:space="preserve">Replay: </w:t>
      </w:r>
      <w:r>
        <w:t>Governed replay can reconstruct the authority/boundary chain, while the boundary artifact itself is not independently bound to the originating run or authority epoch.</w:t>
      </w:r>
    </w:p>
    <w:p>
      <w:pPr>
        <w:spacing w:after="100"/>
      </w:pPr>
      <w:r>
        <w:rPr>
          <w:b/>
        </w:rPr>
        <w:t xml:space="preserve">Policy/scenario drift: </w:t>
      </w:r>
      <w:r>
        <w:t>Not an independent finding; it is subsumed by the governing-provenance issue.</w:t>
      </w:r>
    </w:p>
    <w:p>
      <w:pPr>
        <w:spacing w:after="100"/>
      </w:pPr>
      <w:r>
        <w:rPr>
          <w:b/>
        </w:rPr>
        <w:t xml:space="preserve">Semantic decision-object identity: </w:t>
      </w:r>
      <w:r>
        <w:t>V2 cannot independently discriminate materially different authorized decision objects when their executable fields produce the same executable shape but their governed consequences are semantically different.</w:t>
      </w:r>
    </w:p>
    <w:p>
      <w:pPr>
        <w:spacing w:after="100"/>
      </w:pPr>
      <w:r>
        <w:rPr>
          <w:b/>
        </w:rPr>
        <w:t xml:space="preserve">Correct organizational authority: </w:t>
      </w:r>
      <w:r>
        <w:t>Correct enforcement does not establish that the organization specified the correct authority boundary.</w:t>
      </w:r>
    </w:p>
    <w:p>
      <w:pPr>
        <w:pStyle w:val="Heading1"/>
        <w:keepNext/>
      </w:pPr>
      <w:r>
        <w:t>9. Parked upstream questions</w:t>
      </w:r>
    </w:p>
    <w:p>
      <w:pPr>
        <w:spacing w:before="0" w:after="120"/>
      </w:pPr>
      <w:r>
        <w:rPr>
          <w:b w:val="0"/>
          <w:i w:val="0"/>
        </w:rPr>
        <w:t>The following questions remain deliberately outside the frozen V2 findings and must not be retroactively presented as conclusions of either independent review:</w:t>
      </w:r>
    </w:p>
    <w:p>
      <w:pPr>
        <w:pStyle w:val="ListBullet"/>
        <w:spacing w:after="60"/>
      </w:pPr>
      <w:r>
        <w:t>Whether the actor creating or changing authority had standing to do so.</w:t>
      </w:r>
    </w:p>
    <w:p>
      <w:pPr>
        <w:pStyle w:val="ListBullet"/>
        <w:spacing w:after="60"/>
      </w:pPr>
      <w:r>
        <w:t>The broader authority-to-authorize problem.</w:t>
      </w:r>
    </w:p>
    <w:p>
      <w:pPr>
        <w:pStyle w:val="ListBullet"/>
        <w:spacing w:after="60"/>
      </w:pPr>
      <w:r>
        <w:t>Recursion and termination of authority lineage.</w:t>
      </w:r>
    </w:p>
    <w:p>
      <w:pPr>
        <w:pStyle w:val="ListBullet"/>
        <w:spacing w:after="60"/>
      </w:pPr>
      <w:r>
        <w:t>The candidate trust anchor for legitimate authority creation.</w:t>
      </w:r>
    </w:p>
    <w:p>
      <w:pPr>
        <w:pStyle w:val="ListBullet"/>
        <w:spacing w:after="60"/>
      </w:pPr>
      <w:r>
        <w:t>Institutional or office continuity when authority-bearing actors or offices change.</w:t>
      </w:r>
    </w:p>
    <w:p>
      <w:pPr>
        <w:spacing w:before="0" w:after="120"/>
      </w:pPr>
      <w:r>
        <w:rPr>
          <w:b w:val="0"/>
          <w:i w:val="0"/>
        </w:rPr>
        <w:t>These are research questions for later work unless separately authorized. No V2 repair or V3 interpretation is authorized by this adjudication.</w:t>
      </w:r>
    </w:p>
    <w:p>
      <w:pPr>
        <w:pStyle w:val="Heading1"/>
        <w:keepNext/>
      </w:pPr>
      <w:r>
        <w:t>10. Post-disclosure synthesis: causal and evidentiary fidelity</w:t>
      </w:r>
    </w:p>
    <w:p>
      <w:pPr>
        <w:spacing w:before="0" w:after="100"/>
      </w:pPr>
      <w:r>
        <w:rPr>
          <w:b/>
          <w:i w:val="0"/>
          <w:color w:val="1F4E79"/>
        </w:rPr>
        <w:t>POST-DISCLOSURE SYNTHESIS QUESTION - NOT A V2 FINDING AND NOT A REPAIR PROPOSAL</w:t>
      </w:r>
    </w:p>
    <w:p>
      <w:pPr>
        <w:spacing w:before="0" w:after="120"/>
      </w:pPr>
      <w:r>
        <w:rPr>
          <w:b w:val="0"/>
          <w:i w:val="0"/>
        </w:rPr>
        <w:t>After reading Claude's review as a separate evidence stream, Wojciech identified a broader question that neither independent review establishes alone:</w:t>
      </w:r>
    </w:p>
    <w:p>
      <w:pPr>
        <w:spacing w:before="80" w:after="200"/>
        <w:ind w:left="504" w:right="504"/>
      </w:pPr>
      <w:r>
        <w:rPr>
          <w:b/>
          <w:i/>
        </w:rPr>
        <w:t>What has to remain aligned for an executable authority boundary to remain a causally and evidentially faithful representation of the authority state it claims to carry?</w:t>
      </w:r>
    </w:p>
    <w:p>
      <w:pPr>
        <w:spacing w:before="0" w:after="120"/>
      </w:pPr>
      <w:r>
        <w:rPr>
          <w:b w:val="0"/>
          <w:i w:val="0"/>
        </w:rPr>
        <w:t>The combined evidence exposes a possible fidelity problem across four related but non-identical layers:</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563"/>
            <w:vAlign w:val="center"/>
            <w:shd w:fill="EAF2F8"/>
            <w:tcMar>
              <w:top w:w="140" w:type="dxa"/>
              <w:start w:w="120" w:type="dxa"/>
              <w:bottom w:w="140" w:type="dxa"/>
              <w:end w:w="120" w:type="dxa"/>
            </w:tcMar>
          </w:tcPr>
          <w:p>
            <w:pPr>
              <w:jc w:val="center"/>
            </w:pPr>
            <w:r>
              <w:rPr>
                <w:b/>
              </w:rPr>
              <w:t>Organizational</w:t>
              <w:br/>
              <w:t>authority</w:t>
            </w:r>
          </w:p>
        </w:tc>
        <w:tc>
          <w:tcPr>
            <w:tcW w:type="dxa" w:w="2563"/>
            <w:vAlign w:val="center"/>
            <w:shd w:fill="EAF2F8"/>
            <w:tcMar>
              <w:top w:w="140" w:type="dxa"/>
              <w:start w:w="120" w:type="dxa"/>
              <w:bottom w:w="140" w:type="dxa"/>
              <w:end w:w="120" w:type="dxa"/>
            </w:tcMar>
          </w:tcPr>
          <w:p>
            <w:pPr>
              <w:jc w:val="center"/>
            </w:pPr>
            <w:r>
              <w:rPr>
                <w:b/>
              </w:rPr>
              <w:t>Represented</w:t>
              <w:br/>
              <w:t>authority</w:t>
            </w:r>
          </w:p>
        </w:tc>
        <w:tc>
          <w:tcPr>
            <w:tcW w:type="dxa" w:w="2563"/>
            <w:vAlign w:val="center"/>
            <w:shd w:fill="EAF2F8"/>
            <w:tcMar>
              <w:top w:w="140" w:type="dxa"/>
              <w:start w:w="120" w:type="dxa"/>
              <w:bottom w:w="140" w:type="dxa"/>
              <w:end w:w="120" w:type="dxa"/>
            </w:tcMar>
          </w:tcPr>
          <w:p>
            <w:pPr>
              <w:jc w:val="center"/>
            </w:pPr>
            <w:r>
              <w:rPr>
                <w:b/>
              </w:rPr>
              <w:t>Executable</w:t>
              <w:br/>
              <w:t>boundary</w:t>
            </w:r>
          </w:p>
        </w:tc>
        <w:tc>
          <w:tcPr>
            <w:tcW w:type="dxa" w:w="2563"/>
            <w:vAlign w:val="center"/>
            <w:shd w:fill="EAF2F8"/>
            <w:tcMar>
              <w:top w:w="140" w:type="dxa"/>
              <w:start w:w="120" w:type="dxa"/>
              <w:bottom w:w="140" w:type="dxa"/>
              <w:end w:w="120" w:type="dxa"/>
            </w:tcMar>
          </w:tcPr>
          <w:p>
            <w:pPr>
              <w:jc w:val="center"/>
            </w:pPr>
            <w:r>
              <w:rPr>
                <w:b/>
              </w:rPr>
              <w:t>Recorded causal</w:t>
              <w:br/>
              <w:t>explanation</w:t>
            </w:r>
          </w:p>
        </w:tc>
      </w:tr>
    </w:tbl>
    <w:p>
      <w:pPr>
        <w:spacing w:before="0" w:after="120"/>
      </w:pPr>
      <w:r>
        <w:rPr>
          <w:b w:val="0"/>
          <w:i w:val="0"/>
        </w:rPr>
      </w:r>
    </w:p>
    <w:p>
      <w:pPr>
        <w:spacing w:before="0" w:after="120"/>
      </w:pPr>
      <w:r>
        <w:rPr>
          <w:b w:val="0"/>
          <w:i w:val="0"/>
        </w:rPr>
        <w:t>Claude shows that the recorded explanation can be wrong even when the final BLOCK is safe. Wojciech shows that lineage can be preserved but non-governing at execution, and that continuing authority validity after boundary creation is not represented. Together, those findings support asking what alignment conditions are necessary for an executable artifact to remain both causally operative and evidentially faithful.</w:t>
      </w:r>
    </w:p>
    <w:p>
      <w:pPr>
        <w:spacing w:before="0" w:after="120"/>
      </w:pPr>
      <w:r>
        <w:rPr>
          <w:b w:val="0"/>
          <w:i w:val="0"/>
        </w:rPr>
        <w:t>The combined review does not answer that question. It is preserved here as a post-disclosure synthesis question only.</w:t>
      </w:r>
    </w:p>
    <w:p>
      <w:pPr>
        <w:pStyle w:val="Heading1"/>
        <w:keepNext/>
        <w:pageBreakBefore/>
      </w:pPr>
      <w:r>
        <w:t>11. Final issue adjudication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952"/>
            <w:vAlign w:val="center"/>
            <w:shd w:fill="D9EAF7"/>
            <w:tcMar>
              <w:top w:w="100" w:type="dxa"/>
              <w:start w:w="120" w:type="dxa"/>
              <w:bottom w:w="100" w:type="dxa"/>
              <w:end w:w="120" w:type="dxa"/>
            </w:tcMar>
          </w:tcPr>
          <w:p>
            <w:pPr>
              <w:jc w:val="center"/>
            </w:pPr>
            <w:r>
              <w:rPr>
                <w:b/>
              </w:rPr>
              <w:t>Issue</w:t>
            </w:r>
          </w:p>
        </w:tc>
        <w:tc>
          <w:tcPr>
            <w:tcW w:type="dxa" w:w="3024"/>
            <w:vAlign w:val="center"/>
            <w:shd w:fill="D9EAF7"/>
            <w:tcMar>
              <w:top w:w="100" w:type="dxa"/>
              <w:start w:w="120" w:type="dxa"/>
              <w:bottom w:w="100" w:type="dxa"/>
              <w:end w:w="120" w:type="dxa"/>
            </w:tcMar>
          </w:tcPr>
          <w:p>
            <w:pPr>
              <w:jc w:val="center"/>
            </w:pPr>
            <w:r>
              <w:rPr>
                <w:b/>
              </w:rPr>
              <w:t>Adjudication</w:t>
            </w:r>
          </w:p>
        </w:tc>
        <w:tc>
          <w:tcPr>
            <w:tcW w:type="dxa" w:w="4464"/>
            <w:vAlign w:val="center"/>
            <w:shd w:fill="D9EAF7"/>
            <w:tcMar>
              <w:top w:w="100" w:type="dxa"/>
              <w:start w:w="120" w:type="dxa"/>
              <w:bottom w:w="100" w:type="dxa"/>
              <w:end w:w="120" w:type="dxa"/>
            </w:tcMar>
          </w:tcPr>
          <w:p>
            <w:pPr>
              <w:jc w:val="center"/>
            </w:pPr>
            <w:r>
              <w:rPr>
                <w:b/>
              </w:rPr>
              <w:t>Claims boundary</w:t>
            </w:r>
          </w:p>
        </w:tc>
      </w:tr>
      <w:tr>
        <w:trPr>
          <w:cantSplit/>
        </w:trPr>
        <w:tc>
          <w:tcPr>
            <w:tcW w:type="dxa" w:w="2952"/>
            <w:vAlign w:val="center"/>
            <w:tcMar>
              <w:top w:w="100" w:type="dxa"/>
              <w:start w:w="120" w:type="dxa"/>
              <w:bottom w:w="100" w:type="dxa"/>
              <w:end w:w="120" w:type="dxa"/>
            </w:tcMar>
          </w:tcPr>
          <w:p>
            <w:pPr>
              <w:jc w:val="left"/>
            </w:pPr>
            <w:r>
              <w:t>Central V2 causal-boundary hypothesis</w:t>
            </w:r>
          </w:p>
        </w:tc>
        <w:tc>
          <w:tcPr>
            <w:tcW w:type="dxa" w:w="3024"/>
            <w:vAlign w:val="center"/>
            <w:tcMar>
              <w:top w:w="100" w:type="dxa"/>
              <w:start w:w="120" w:type="dxa"/>
              <w:bottom w:w="100" w:type="dxa"/>
              <w:end w:w="120" w:type="dxa"/>
            </w:tcMar>
          </w:tcPr>
          <w:p>
            <w:pPr>
              <w:jc w:val="center"/>
            </w:pPr>
            <w:r>
              <w:t>SURVIVES</w:t>
            </w:r>
          </w:p>
        </w:tc>
        <w:tc>
          <w:tcPr>
            <w:tcW w:type="dxa" w:w="4464"/>
            <w:vAlign w:val="center"/>
            <w:tcMar>
              <w:top w:w="100" w:type="dxa"/>
              <w:start w:w="120" w:type="dxa"/>
              <w:bottom w:w="100" w:type="dxa"/>
              <w:end w:w="120" w:type="dxa"/>
            </w:tcMar>
          </w:tcPr>
          <w:p>
            <w:pPr>
              <w:jc w:val="left"/>
            </w:pPr>
            <w:r>
              <w:t>Within represented and tested scope.</w:t>
            </w:r>
          </w:p>
        </w:tc>
      </w:tr>
      <w:tr>
        <w:trPr>
          <w:cantSplit/>
        </w:trPr>
        <w:tc>
          <w:tcPr>
            <w:tcW w:type="dxa" w:w="2952"/>
            <w:vAlign w:val="center"/>
            <w:tcMar>
              <w:top w:w="100" w:type="dxa"/>
              <w:start w:w="120" w:type="dxa"/>
              <w:bottom w:w="100" w:type="dxa"/>
              <w:end w:w="120" w:type="dxa"/>
            </w:tcMar>
          </w:tcPr>
          <w:p>
            <w:pPr>
              <w:jc w:val="left"/>
            </w:pPr>
            <w:r>
              <w:t>Claude F-1</w:t>
            </w:r>
          </w:p>
        </w:tc>
        <w:tc>
          <w:tcPr>
            <w:tcW w:type="dxa" w:w="3024"/>
            <w:vAlign w:val="center"/>
            <w:tcMar>
              <w:top w:w="100" w:type="dxa"/>
              <w:start w:w="120" w:type="dxa"/>
              <w:bottom w:w="100" w:type="dxa"/>
              <w:end w:w="120" w:type="dxa"/>
            </w:tcMar>
          </w:tcPr>
          <w:p>
            <w:pPr>
              <w:jc w:val="center"/>
            </w:pPr>
            <w:r>
              <w:t>PROBABLE DEFECT</w:t>
            </w:r>
          </w:p>
        </w:tc>
        <w:tc>
          <w:tcPr>
            <w:tcW w:type="dxa" w:w="4464"/>
            <w:vAlign w:val="center"/>
            <w:tcMar>
              <w:top w:w="100" w:type="dxa"/>
              <w:start w:w="120" w:type="dxa"/>
              <w:bottom w:w="100" w:type="dxa"/>
              <w:end w:w="120" w:type="dxa"/>
            </w:tcMar>
          </w:tcPr>
          <w:p>
            <w:pPr>
              <w:jc w:val="left"/>
            </w:pPr>
            <w:r>
              <w:t>Implementation / evidence-integrity; safe BLOCK does not cure wrong causal narrative.</w:t>
            </w:r>
          </w:p>
        </w:tc>
      </w:tr>
      <w:tr>
        <w:trPr>
          <w:cantSplit/>
        </w:trPr>
        <w:tc>
          <w:tcPr>
            <w:tcW w:type="dxa" w:w="2952"/>
            <w:vAlign w:val="center"/>
            <w:tcMar>
              <w:top w:w="100" w:type="dxa"/>
              <w:start w:w="120" w:type="dxa"/>
              <w:bottom w:w="100" w:type="dxa"/>
              <w:end w:w="120" w:type="dxa"/>
            </w:tcMar>
          </w:tcPr>
          <w:p>
            <w:pPr>
              <w:jc w:val="left"/>
            </w:pPr>
            <w:r>
              <w:t>Claude F-2</w:t>
            </w:r>
          </w:p>
        </w:tc>
        <w:tc>
          <w:tcPr>
            <w:tcW w:type="dxa" w:w="3024"/>
            <w:vAlign w:val="center"/>
            <w:tcMar>
              <w:top w:w="100" w:type="dxa"/>
              <w:start w:w="120" w:type="dxa"/>
              <w:bottom w:w="100" w:type="dxa"/>
              <w:end w:w="120" w:type="dxa"/>
            </w:tcMar>
          </w:tcPr>
          <w:p>
            <w:pPr>
              <w:jc w:val="center"/>
            </w:pPr>
            <w:r>
              <w:t>UNRESOLVED</w:t>
            </w:r>
          </w:p>
        </w:tc>
        <w:tc>
          <w:tcPr>
            <w:tcW w:type="dxa" w:w="4464"/>
            <w:vAlign w:val="center"/>
            <w:tcMar>
              <w:top w:w="100" w:type="dxa"/>
              <w:start w:w="120" w:type="dxa"/>
              <w:bottom w:w="100" w:type="dxa"/>
              <w:end w:w="120" w:type="dxa"/>
            </w:tcMar>
          </w:tcPr>
          <w:p>
            <w:pPr>
              <w:jc w:val="left"/>
            </w:pPr>
            <w:r>
              <w:t>Specification / experimental-semantics adjudication required.</w:t>
            </w:r>
          </w:p>
        </w:tc>
      </w:tr>
      <w:tr>
        <w:trPr>
          <w:cantSplit/>
        </w:trPr>
        <w:tc>
          <w:tcPr>
            <w:tcW w:type="dxa" w:w="2952"/>
            <w:vAlign w:val="center"/>
            <w:tcMar>
              <w:top w:w="100" w:type="dxa"/>
              <w:start w:w="120" w:type="dxa"/>
              <w:bottom w:w="100" w:type="dxa"/>
              <w:end w:w="120" w:type="dxa"/>
            </w:tcMar>
          </w:tcPr>
          <w:p>
            <w:pPr>
              <w:jc w:val="left"/>
            </w:pPr>
            <w:r>
              <w:t>Claude ACCESS anomaly</w:t>
            </w:r>
          </w:p>
        </w:tc>
        <w:tc>
          <w:tcPr>
            <w:tcW w:type="dxa" w:w="3024"/>
            <w:vAlign w:val="center"/>
            <w:tcMar>
              <w:top w:w="100" w:type="dxa"/>
              <w:start w:w="120" w:type="dxa"/>
              <w:bottom w:w="100" w:type="dxa"/>
              <w:end w:w="120" w:type="dxa"/>
            </w:tcMar>
          </w:tcPr>
          <w:p>
            <w:pPr>
              <w:jc w:val="center"/>
            </w:pPr>
            <w:r>
              <w:t>REVIEW REQUIRED</w:t>
            </w:r>
          </w:p>
        </w:tc>
        <w:tc>
          <w:tcPr>
            <w:tcW w:type="dxa" w:w="4464"/>
            <w:vAlign w:val="center"/>
            <w:tcMar>
              <w:top w:w="100" w:type="dxa"/>
              <w:start w:w="120" w:type="dxa"/>
              <w:bottom w:w="100" w:type="dxa"/>
              <w:end w:w="120" w:type="dxa"/>
            </w:tcMar>
          </w:tcPr>
          <w:p>
            <w:pPr>
              <w:jc w:val="left"/>
            </w:pPr>
            <w:r>
              <w:t>Possible state/history propagation issue; not cleanly reproduced.</w:t>
            </w:r>
          </w:p>
        </w:tc>
      </w:tr>
      <w:tr>
        <w:trPr>
          <w:cantSplit/>
        </w:trPr>
        <w:tc>
          <w:tcPr>
            <w:tcW w:type="dxa" w:w="2952"/>
            <w:vAlign w:val="center"/>
            <w:tcMar>
              <w:top w:w="100" w:type="dxa"/>
              <w:start w:w="120" w:type="dxa"/>
              <w:bottom w:w="100" w:type="dxa"/>
              <w:end w:w="120" w:type="dxa"/>
            </w:tcMar>
          </w:tcPr>
          <w:p>
            <w:pPr>
              <w:jc w:val="left"/>
            </w:pPr>
            <w:r>
              <w:t>Temporal continuity</w:t>
            </w:r>
          </w:p>
        </w:tc>
        <w:tc>
          <w:tcPr>
            <w:tcW w:type="dxa" w:w="3024"/>
            <w:vAlign w:val="center"/>
            <w:tcMar>
              <w:top w:w="100" w:type="dxa"/>
              <w:start w:w="120" w:type="dxa"/>
              <w:bottom w:w="100" w:type="dxa"/>
              <w:end w:w="120" w:type="dxa"/>
            </w:tcMar>
          </w:tcPr>
          <w:p>
            <w:pPr>
              <w:jc w:val="center"/>
            </w:pPr>
            <w:r>
              <w:t>CANNOT DISCRIMINATE</w:t>
            </w:r>
          </w:p>
        </w:tc>
        <w:tc>
          <w:tcPr>
            <w:tcW w:type="dxa" w:w="4464"/>
            <w:vAlign w:val="center"/>
            <w:tcMar>
              <w:top w:w="100" w:type="dxa"/>
              <w:start w:w="120" w:type="dxa"/>
              <w:bottom w:w="100" w:type="dxa"/>
              <w:end w:w="120" w:type="dxa"/>
            </w:tcMar>
          </w:tcPr>
          <w:p>
            <w:pPr>
              <w:jc w:val="left"/>
            </w:pPr>
            <w:r>
              <w:t>V2 representation limit after boundary creation.</w:t>
            </w:r>
          </w:p>
        </w:tc>
      </w:tr>
      <w:tr>
        <w:trPr>
          <w:cantSplit/>
        </w:trPr>
        <w:tc>
          <w:tcPr>
            <w:tcW w:type="dxa" w:w="2952"/>
            <w:vAlign w:val="center"/>
            <w:tcMar>
              <w:top w:w="100" w:type="dxa"/>
              <w:start w:w="120" w:type="dxa"/>
              <w:bottom w:w="100" w:type="dxa"/>
              <w:end w:w="120" w:type="dxa"/>
            </w:tcMar>
          </w:tcPr>
          <w:p>
            <w:pPr>
              <w:jc w:val="left"/>
            </w:pPr>
            <w:r>
              <w:t>Governing provenance</w:t>
            </w:r>
          </w:p>
        </w:tc>
        <w:tc>
          <w:tcPr>
            <w:tcW w:type="dxa" w:w="3024"/>
            <w:vAlign w:val="center"/>
            <w:tcMar>
              <w:top w:w="100" w:type="dxa"/>
              <w:start w:w="120" w:type="dxa"/>
              <w:bottom w:w="100" w:type="dxa"/>
              <w:end w:w="120" w:type="dxa"/>
            </w:tcMar>
          </w:tcPr>
          <w:p>
            <w:pPr>
              <w:jc w:val="center"/>
            </w:pPr>
            <w:r>
              <w:t>CANNOT DISCRIMINATE</w:t>
            </w:r>
          </w:p>
        </w:tc>
        <w:tc>
          <w:tcPr>
            <w:tcW w:type="dxa" w:w="4464"/>
            <w:vAlign w:val="center"/>
            <w:tcMar>
              <w:top w:w="100" w:type="dxa"/>
              <w:start w:w="120" w:type="dxa"/>
              <w:bottom w:w="100" w:type="dxa"/>
              <w:end w:w="120" w:type="dxa"/>
            </w:tcMar>
          </w:tcPr>
          <w:p>
            <w:pPr>
              <w:jc w:val="left"/>
            </w:pPr>
            <w:r>
              <w:t>Recorded lineage is not independently governing at execution.</w:t>
            </w:r>
          </w:p>
        </w:tc>
      </w:tr>
      <w:tr>
        <w:trPr>
          <w:cantSplit/>
        </w:trPr>
        <w:tc>
          <w:tcPr>
            <w:tcW w:type="dxa" w:w="2952"/>
            <w:vAlign w:val="center"/>
            <w:tcMar>
              <w:top w:w="100" w:type="dxa"/>
              <w:start w:w="120" w:type="dxa"/>
              <w:bottom w:w="100" w:type="dxa"/>
              <w:end w:w="120" w:type="dxa"/>
            </w:tcMar>
          </w:tcPr>
          <w:p>
            <w:pPr>
              <w:jc w:val="left"/>
            </w:pPr>
            <w:r>
              <w:t>Replay / epoch binding</w:t>
            </w:r>
          </w:p>
        </w:tc>
        <w:tc>
          <w:tcPr>
            <w:tcW w:type="dxa" w:w="3024"/>
            <w:vAlign w:val="center"/>
            <w:tcMar>
              <w:top w:w="100" w:type="dxa"/>
              <w:start w:w="120" w:type="dxa"/>
              <w:bottom w:w="100" w:type="dxa"/>
              <w:end w:w="120" w:type="dxa"/>
            </w:tcMar>
          </w:tcPr>
          <w:p>
            <w:pPr>
              <w:jc w:val="center"/>
            </w:pPr>
            <w:r>
              <w:t>REPLAY SURVIVES</w:t>
            </w:r>
          </w:p>
        </w:tc>
        <w:tc>
          <w:tcPr>
            <w:tcW w:type="dxa" w:w="4464"/>
            <w:vAlign w:val="center"/>
            <w:tcMar>
              <w:top w:w="100" w:type="dxa"/>
              <w:start w:w="120" w:type="dxa"/>
              <w:bottom w:w="100" w:type="dxa"/>
              <w:end w:w="120" w:type="dxa"/>
            </w:tcMar>
          </w:tcPr>
          <w:p>
            <w:pPr>
              <w:jc w:val="left"/>
            </w:pPr>
            <w:r>
              <w:t>Artifact-level authority-epoch binding remains outside representation.</w:t>
            </w:r>
          </w:p>
        </w:tc>
      </w:tr>
      <w:tr>
        <w:trPr>
          <w:cantSplit/>
        </w:trPr>
        <w:tc>
          <w:tcPr>
            <w:tcW w:type="dxa" w:w="2952"/>
            <w:vAlign w:val="center"/>
            <w:tcMar>
              <w:top w:w="100" w:type="dxa"/>
              <w:start w:w="120" w:type="dxa"/>
              <w:bottom w:w="100" w:type="dxa"/>
              <w:end w:w="120" w:type="dxa"/>
            </w:tcMar>
          </w:tcPr>
          <w:p>
            <w:pPr>
              <w:jc w:val="left"/>
            </w:pPr>
            <w:r>
              <w:t>Semantic decision-object identity</w:t>
            </w:r>
          </w:p>
        </w:tc>
        <w:tc>
          <w:tcPr>
            <w:tcW w:type="dxa" w:w="3024"/>
            <w:vAlign w:val="center"/>
            <w:tcMar>
              <w:top w:w="100" w:type="dxa"/>
              <w:start w:w="120" w:type="dxa"/>
              <w:bottom w:w="100" w:type="dxa"/>
              <w:end w:w="120" w:type="dxa"/>
            </w:tcMar>
          </w:tcPr>
          <w:p>
            <w:pPr>
              <w:jc w:val="center"/>
            </w:pPr>
            <w:r>
              <w:t>REPRESENTATION BOUNDARY</w:t>
            </w:r>
          </w:p>
        </w:tc>
        <w:tc>
          <w:tcPr>
            <w:tcW w:type="dxa" w:w="4464"/>
            <w:vAlign w:val="center"/>
            <w:tcMar>
              <w:top w:w="100" w:type="dxa"/>
              <w:start w:w="120" w:type="dxa"/>
              <w:bottom w:w="100" w:type="dxa"/>
              <w:end w:w="120" w:type="dxa"/>
            </w:tcMar>
          </w:tcPr>
          <w:p>
            <w:pPr>
              <w:jc w:val="left"/>
            </w:pPr>
            <w:r>
              <w:t>Executable equivalence does not establish semantic decision-object equivalence.</w:t>
            </w:r>
          </w:p>
        </w:tc>
      </w:tr>
      <w:tr>
        <w:trPr>
          <w:cantSplit/>
        </w:trPr>
        <w:tc>
          <w:tcPr>
            <w:tcW w:type="dxa" w:w="2952"/>
            <w:vAlign w:val="center"/>
            <w:tcMar>
              <w:top w:w="100" w:type="dxa"/>
              <w:start w:w="120" w:type="dxa"/>
              <w:bottom w:w="100" w:type="dxa"/>
              <w:end w:w="120" w:type="dxa"/>
            </w:tcMar>
          </w:tcPr>
          <w:p>
            <w:pPr>
              <w:jc w:val="left"/>
            </w:pPr>
            <w:r>
              <w:t>Correct organizational authority</w:t>
            </w:r>
          </w:p>
        </w:tc>
        <w:tc>
          <w:tcPr>
            <w:tcW w:type="dxa" w:w="3024"/>
            <w:vAlign w:val="center"/>
            <w:tcMar>
              <w:top w:w="100" w:type="dxa"/>
              <w:start w:w="120" w:type="dxa"/>
              <w:bottom w:w="100" w:type="dxa"/>
              <w:end w:w="120" w:type="dxa"/>
            </w:tcMar>
          </w:tcPr>
          <w:p>
            <w:pPr>
              <w:jc w:val="center"/>
            </w:pPr>
            <w:r>
              <w:t>KNOWN LIMIT</w:t>
            </w:r>
          </w:p>
        </w:tc>
        <w:tc>
          <w:tcPr>
            <w:tcW w:type="dxa" w:w="4464"/>
            <w:vAlign w:val="center"/>
            <w:tcMar>
              <w:top w:w="100" w:type="dxa"/>
              <w:start w:w="120" w:type="dxa"/>
              <w:bottom w:w="100" w:type="dxa"/>
              <w:end w:w="120" w:type="dxa"/>
            </w:tcMar>
          </w:tcPr>
          <w:p>
            <w:pPr>
              <w:jc w:val="left"/>
            </w:pPr>
            <w:r>
              <w:t>Correct enforcement does not prove correct authority specification.</w:t>
            </w:r>
          </w:p>
        </w:tc>
      </w:tr>
      <w:tr>
        <w:trPr>
          <w:cantSplit/>
        </w:trPr>
        <w:tc>
          <w:tcPr>
            <w:tcW w:type="dxa" w:w="2952"/>
            <w:vAlign w:val="center"/>
            <w:tcMar>
              <w:top w:w="100" w:type="dxa"/>
              <w:start w:w="120" w:type="dxa"/>
              <w:bottom w:w="100" w:type="dxa"/>
              <w:end w:w="120" w:type="dxa"/>
            </w:tcMar>
          </w:tcPr>
          <w:p>
            <w:pPr>
              <w:jc w:val="left"/>
            </w:pPr>
            <w:r>
              <w:t>Causal/evidentiary fidelity</w:t>
            </w:r>
          </w:p>
        </w:tc>
        <w:tc>
          <w:tcPr>
            <w:tcW w:type="dxa" w:w="3024"/>
            <w:vAlign w:val="center"/>
            <w:tcMar>
              <w:top w:w="100" w:type="dxa"/>
              <w:start w:w="120" w:type="dxa"/>
              <w:bottom w:w="100" w:type="dxa"/>
              <w:end w:w="120" w:type="dxa"/>
            </w:tcMar>
          </w:tcPr>
          <w:p>
            <w:pPr>
              <w:jc w:val="center"/>
            </w:pPr>
            <w:r>
              <w:t>RESEARCH QUESTION</w:t>
            </w:r>
          </w:p>
        </w:tc>
        <w:tc>
          <w:tcPr>
            <w:tcW w:type="dxa" w:w="4464"/>
            <w:vAlign w:val="center"/>
            <w:tcMar>
              <w:top w:w="100" w:type="dxa"/>
              <w:start w:w="120" w:type="dxa"/>
              <w:bottom w:w="100" w:type="dxa"/>
              <w:end w:w="120" w:type="dxa"/>
            </w:tcMar>
          </w:tcPr>
          <w:p>
            <w:pPr>
              <w:jc w:val="left"/>
            </w:pPr>
            <w:r>
              <w:t>Post-disclosure synthesis; not a frozen V2 finding.</w:t>
            </w:r>
          </w:p>
        </w:tc>
      </w:tr>
    </w:tbl>
    <w:p/>
    <w:p>
      <w:pPr>
        <w:pStyle w:val="Heading1"/>
        <w:keepNext/>
      </w:pPr>
      <w:r>
        <w:t>12. Final V2 claim after combined review</w:t>
      </w:r>
    </w:p>
    <w:p>
      <w:pPr>
        <w:spacing w:before="0" w:after="80"/>
      </w:pPr>
      <w:r>
        <w:rPr>
          <w:b/>
          <w:i w:val="0"/>
          <w:color w:val="1F4E79"/>
        </w:rPr>
        <w:t>DEMONSTRATED / SUPPORTED</w:t>
      </w:r>
    </w:p>
    <w:p>
      <w:pPr>
        <w:spacing w:before="0" w:after="120"/>
      </w:pPr>
      <w:r>
        <w:rPr>
          <w:b w:val="0"/>
          <w:i w:val="0"/>
        </w:rPr>
        <w:t>V2 demonstrates that, within the represented and tested scope of the harness, an organizational authority decision can be translated into an enforceable boundary that causally controls execution.</w:t>
      </w:r>
    </w:p>
    <w:p>
      <w:pPr>
        <w:spacing w:before="100" w:after="80"/>
      </w:pPr>
      <w:r>
        <w:rPr>
          <w:b/>
          <w:i w:val="0"/>
          <w:color w:val="1F4E79"/>
        </w:rPr>
        <w:t>NOT DEMONSTRATED</w:t>
      </w:r>
    </w:p>
    <w:p>
      <w:pPr>
        <w:spacing w:before="0" w:after="120"/>
      </w:pPr>
      <w:r>
        <w:rPr>
          <w:b w:val="0"/>
          <w:i w:val="0"/>
        </w:rPr>
        <w:t>The combined independent evidence does not demonstrate that the organization selected the correct authority boundary; that recorded authority lineage remains governing after boundary creation; that source authority remains current through a later independent state transition; that materially different authorized decision objects can always be distinguished when their executable shape is identical; or that a structurally distinguishable execution reason guarantees a causally faithful evidence narrative.</w:t>
      </w:r>
    </w:p>
    <w:p>
      <w:pPr>
        <w:spacing w:before="100" w:after="80"/>
      </w:pPr>
      <w:r>
        <w:rPr>
          <w:b/>
          <w:i w:val="0"/>
          <w:color w:val="1F4E79"/>
        </w:rPr>
        <w:t>RESEARCH QUESTION</w:t>
      </w:r>
    </w:p>
    <w:p>
      <w:pPr>
        <w:spacing w:before="0" w:after="120"/>
      </w:pPr>
      <w:r>
        <w:rPr>
          <w:b w:val="0"/>
          <w:i w:val="0"/>
        </w:rPr>
        <w:t>The combined review raises a further question about what relationships among organizational authority, represented authority, executable boundary, and recorded causal explanation must remain aligned for an execution artifact to remain both causally operative and evidentially faithful. V2 does not answer that question.</w:t>
      </w:r>
    </w:p>
    <w:p>
      <w:pPr>
        <w:pStyle w:val="Heading1"/>
        <w:keepNext/>
      </w:pPr>
      <w:r>
        <w:t>13. Preservation and next-action boundary</w:t>
      </w:r>
    </w:p>
    <w:p>
      <w:pPr>
        <w:spacing w:before="0" w:after="120"/>
      </w:pPr>
      <w:r>
        <w:rPr>
          <w:b w:val="0"/>
          <w:i w:val="0"/>
        </w:rPr>
        <w:t>This adjudication changes the synthesis record only. It does not alter the frozen V2 release, Claude's preserved independent review, Wojciech's frozen independent assessment, Wojciech's reviewer confirmation, or Wojciech's post-disclosure response.</w:t>
      </w:r>
    </w:p>
    <w:p>
      <w:pPr>
        <w:spacing w:before="0" w:after="120"/>
      </w:pPr>
      <w:r>
        <w:rPr>
          <w:b w:val="0"/>
          <w:i w:val="0"/>
        </w:rPr>
        <w:t>No implementation repair is authorized by this document. F-1 may justify a separately governed reproduction and source-level adjudication. F-2 requires governing-specification adjudication before any repair classification. Temporal continuity, provenance, semantic identity, and causal/evidentiary fidelity remain research or representation questions unless separately activated.</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Operational AI Authority Test Harness - V2 Cross-Review Adjudication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