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Claude / Wojciech V2 Cross-Review Adjudication</w:t>
      </w:r>
    </w:p>
    <w:p>
      <w:pPr>
        <w:jc w:val="center"/>
      </w:pPr>
      <w:r>
        <w:rPr>
          <w:b/>
          <w:sz w:val="23"/>
        </w:rPr>
        <w:t>Operational AI Authority Test Harness - Version 2.0.0</w:t>
      </w:r>
    </w:p>
    <w:p>
      <w:pPr>
        <w:jc w:val="center"/>
      </w:pPr>
      <w:r>
        <w:rPr>
          <w:i/>
          <w:sz w:val="21"/>
        </w:rPr>
        <w:t>Post-freeze comparison of independent adversarial evidence</w:t>
      </w:r>
    </w:p>
    <w:tbl>
      <w:tblPr>
        <w:tblW w:type="auto" w:w="0"/>
        <w:jc w:val="center"/>
        <w:tblLayout w:type="fixed"/>
        <w:tblLook w:firstColumn="1" w:firstRow="1" w:lastColumn="0" w:lastRow="0" w:noHBand="0" w:noVBand="1" w:val="04A0"/>
      </w:tblPr>
      <w:tblGrid>
        <w:gridCol w:w="2376"/>
        <w:gridCol w:w="8208"/>
      </w:tblGrid>
      <w:tr>
        <w:tc>
          <w:tcPr>
            <w:tcW w:type="dxa" w:w="5083"/>
            <w:shd w:fill="D9EAF7"/>
            <w:vAlign w:val="center"/>
            <w:tcMar>
              <w:top w:w="100" w:type="dxa"/>
              <w:start w:w="120" w:type="dxa"/>
              <w:bottom w:w="100" w:type="dxa"/>
              <w:end w:w="120" w:type="dxa"/>
            </w:tcMar>
          </w:tcPr>
          <w:p>
            <w:pPr>
              <w:spacing w:after="0"/>
            </w:pPr>
            <w:r>
              <w:t>Record status</w:t>
            </w:r>
          </w:p>
        </w:tc>
        <w:tc>
          <w:tcPr>
            <w:tcW w:type="dxa" w:w="5083"/>
            <w:vAlign w:val="center"/>
            <w:tcMar>
              <w:top w:w="100" w:type="dxa"/>
              <w:start w:w="120" w:type="dxa"/>
              <w:bottom w:w="100" w:type="dxa"/>
              <w:end w:w="120" w:type="dxa"/>
            </w:tcMar>
          </w:tcPr>
          <w:p>
            <w:pPr>
              <w:spacing w:after="0"/>
            </w:pPr>
            <w:r>
              <w:t>CROSS-REVIEW ADJUDICATION - does not modify either reviewer's frozen evidence</w:t>
            </w:r>
          </w:p>
        </w:tc>
      </w:tr>
      <w:tr>
        <w:tc>
          <w:tcPr>
            <w:tcW w:type="dxa" w:w="5083"/>
            <w:shd w:fill="D9EAF7"/>
            <w:vAlign w:val="center"/>
            <w:tcMar>
              <w:top w:w="100" w:type="dxa"/>
              <w:start w:w="120" w:type="dxa"/>
              <w:bottom w:w="100" w:type="dxa"/>
              <w:end w:w="120" w:type="dxa"/>
            </w:tcMar>
          </w:tcPr>
          <w:p>
            <w:pPr>
              <w:spacing w:after="0"/>
            </w:pPr>
            <w:r>
              <w:t>Target</w:t>
            </w:r>
          </w:p>
        </w:tc>
        <w:tc>
          <w:tcPr>
            <w:tcW w:type="dxa" w:w="5083"/>
            <w:vAlign w:val="center"/>
            <w:tcMar>
              <w:top w:w="100" w:type="dxa"/>
              <w:start w:w="120" w:type="dxa"/>
              <w:bottom w:w="100" w:type="dxa"/>
              <w:end w:w="120" w:type="dxa"/>
            </w:tcMar>
          </w:tcPr>
          <w:p>
            <w:pPr>
              <w:spacing w:after="0"/>
            </w:pPr>
            <w:r>
              <w:t>Frozen V2.0.0 artifact; no retrospective repair</w:t>
            </w:r>
          </w:p>
        </w:tc>
      </w:tr>
      <w:tr>
        <w:tc>
          <w:tcPr>
            <w:tcW w:type="dxa" w:w="5083"/>
            <w:shd w:fill="D9EAF7"/>
            <w:vAlign w:val="center"/>
            <w:tcMar>
              <w:top w:w="100" w:type="dxa"/>
              <w:start w:w="120" w:type="dxa"/>
              <w:bottom w:w="100" w:type="dxa"/>
              <w:end w:w="120" w:type="dxa"/>
            </w:tcMar>
          </w:tcPr>
          <w:p>
            <w:pPr>
              <w:spacing w:after="0"/>
            </w:pPr>
            <w:r>
              <w:t>Claude basis</w:t>
            </w:r>
          </w:p>
        </w:tc>
        <w:tc>
          <w:tcPr>
            <w:tcW w:type="dxa" w:w="5083"/>
            <w:vAlign w:val="center"/>
            <w:tcMar>
              <w:top w:w="100" w:type="dxa"/>
              <w:start w:w="120" w:type="dxa"/>
              <w:bottom w:w="100" w:type="dxa"/>
              <w:end w:w="120" w:type="dxa"/>
            </w:tcMar>
          </w:tcPr>
          <w:p>
            <w:pPr>
              <w:spacing w:after="0"/>
            </w:pPr>
            <w:r>
              <w:t>Final public adversarial review: 109 browser cases; 103 PASS, 4 REVIEW REQUIRED, 2 FAIL-IMPLEMENTATION</w:t>
            </w:r>
          </w:p>
        </w:tc>
      </w:tr>
      <w:tr>
        <w:tc>
          <w:tcPr>
            <w:tcW w:type="dxa" w:w="5083"/>
            <w:shd w:fill="D9EAF7"/>
            <w:vAlign w:val="center"/>
            <w:tcMar>
              <w:top w:w="100" w:type="dxa"/>
              <w:start w:w="120" w:type="dxa"/>
              <w:bottom w:w="100" w:type="dxa"/>
              <w:end w:w="120" w:type="dxa"/>
            </w:tcMar>
          </w:tcPr>
          <w:p>
            <w:pPr>
              <w:spacing w:after="0"/>
            </w:pPr>
            <w:r>
              <w:t>Wojciech basis</w:t>
            </w:r>
          </w:p>
        </w:tc>
        <w:tc>
          <w:tcPr>
            <w:tcW w:type="dxa" w:w="5083"/>
            <w:vAlign w:val="center"/>
            <w:tcMar>
              <w:top w:w="100" w:type="dxa"/>
              <w:start w:w="120" w:type="dxa"/>
              <w:bottom w:w="100" w:type="dxa"/>
              <w:end w:w="120" w:type="dxa"/>
            </w:tcMar>
          </w:tcPr>
          <w:p>
            <w:pPr>
              <w:spacing w:after="0"/>
            </w:pPr>
            <w:r>
              <w:t>Final independent V2 adversarial assessment, frozen before exposure to other reviewers</w:t>
            </w:r>
          </w:p>
        </w:tc>
      </w:tr>
      <w:tr>
        <w:tc>
          <w:tcPr>
            <w:tcW w:type="dxa" w:w="5083"/>
            <w:shd w:fill="D9EAF7"/>
            <w:vAlign w:val="center"/>
            <w:tcMar>
              <w:top w:w="100" w:type="dxa"/>
              <w:start w:w="120" w:type="dxa"/>
              <w:bottom w:w="100" w:type="dxa"/>
              <w:end w:w="120" w:type="dxa"/>
            </w:tcMar>
          </w:tcPr>
          <w:p>
            <w:pPr>
              <w:spacing w:after="0"/>
            </w:pPr>
            <w:r>
              <w:t>Authority</w:t>
            </w:r>
          </w:p>
        </w:tc>
        <w:tc>
          <w:tcPr>
            <w:tcW w:type="dxa" w:w="5083"/>
            <w:vAlign w:val="center"/>
            <w:tcMar>
              <w:top w:w="100" w:type="dxa"/>
              <w:start w:w="120" w:type="dxa"/>
              <w:bottom w:w="100" w:type="dxa"/>
              <w:end w:w="120" w:type="dxa"/>
            </w:tcMar>
          </w:tcPr>
          <w:p>
            <w:pPr>
              <w:spacing w:after="0"/>
            </w:pPr>
            <w:r>
              <w:t>This document does not authorize implementation or conceptual-model changes</w:t>
            </w:r>
          </w:p>
        </w:tc>
      </w:tr>
    </w:tbl>
    <w:p/>
    <w:p>
      <w:pPr>
        <w:pStyle w:val="Heading1"/>
        <w:keepNext/>
      </w:pPr>
      <w:r>
        <w:t>1. Purpose and Method</w:t>
      </w:r>
    </w:p>
    <w:p>
      <w:r>
        <w:t>This record compares two independently generated bodies of V2 adversarial evidence after Wojciech's assessment was frozen. It does not rewrite Claude's findings, reinterpret Wojciech's review as if he had seen Claude's work, or merge distinct attacks merely because they touch the same architectural boundary.</w:t>
      </w:r>
    </w:p>
    <w:p>
      <w:r>
        <w:t>The comparison distinguishes four categories: direct independent convergence; complementary or adjacent findings; reviewer-unique findings; and findings that still require specification or source adjudication. The aim is to sharpen the boundary of what V2 demonstrates, not to manufacture a cleaner result.</w:t>
      </w:r>
    </w:p>
    <w:p>
      <w:pPr>
        <w:pStyle w:val="Heading1"/>
        <w:keepNext/>
      </w:pPr>
      <w:r>
        <w:t>2. Source Records Compared</w:t>
      </w:r>
    </w:p>
    <w:p>
      <w:pPr>
        <w:pStyle w:val="ListBullet"/>
      </w:pPr>
      <w:r>
        <w:t>Claude V2 Final Adversarial Review Record and its preserved raw deliverables.</w:t>
      </w:r>
    </w:p>
    <w:p>
      <w:pPr>
        <w:pStyle w:val="ListBullet"/>
      </w:pPr>
      <w:r>
        <w:t>Wojciech V2 Final Independent Adversarial Assessment and the preserved raw LinkedIn message thread.</w:t>
      </w:r>
    </w:p>
    <w:p>
      <w:pPr>
        <w:pStyle w:val="ListBullet"/>
      </w:pPr>
      <w:r>
        <w:t>Frozen V2.0.0 release as the common historical target; neither comparison nor this record changes that artifact.</w:t>
      </w:r>
    </w:p>
    <w:p>
      <w:pPr>
        <w:pStyle w:val="Heading1"/>
        <w:keepNext/>
      </w:pPr>
      <w:r>
        <w:t>3. Cross-Review Matrix</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shd w:fill="1F4E79"/>
            <w:vAlign w:val="center"/>
            <w:tcMar>
              <w:top w:w="110" w:type="dxa"/>
              <w:start w:w="110" w:type="dxa"/>
              <w:bottom w:w="110" w:type="dxa"/>
              <w:end w:w="110" w:type="dxa"/>
            </w:tcMar>
          </w:tcPr>
          <w:p>
            <w:r>
              <w:rPr>
                <w:b/>
                <w:color w:val="FFFFFF"/>
                <w:sz w:val="18"/>
              </w:rPr>
              <w:t>Area</w:t>
            </w:r>
          </w:p>
        </w:tc>
        <w:tc>
          <w:tcPr>
            <w:tcW w:type="dxa" w:w="2541"/>
            <w:shd w:fill="1F4E79"/>
            <w:vAlign w:val="center"/>
            <w:tcMar>
              <w:top w:w="110" w:type="dxa"/>
              <w:start w:w="110" w:type="dxa"/>
              <w:bottom w:w="110" w:type="dxa"/>
              <w:end w:w="110" w:type="dxa"/>
            </w:tcMar>
          </w:tcPr>
          <w:p>
            <w:r>
              <w:rPr>
                <w:b/>
                <w:color w:val="FFFFFF"/>
                <w:sz w:val="18"/>
              </w:rPr>
              <w:t>Claude</w:t>
            </w:r>
          </w:p>
        </w:tc>
        <w:tc>
          <w:tcPr>
            <w:tcW w:type="dxa" w:w="2541"/>
            <w:shd w:fill="1F4E79"/>
            <w:vAlign w:val="center"/>
            <w:tcMar>
              <w:top w:w="110" w:type="dxa"/>
              <w:start w:w="110" w:type="dxa"/>
              <w:bottom w:w="110" w:type="dxa"/>
              <w:end w:w="110" w:type="dxa"/>
            </w:tcMar>
          </w:tcPr>
          <w:p>
            <w:r>
              <w:rPr>
                <w:b/>
                <w:color w:val="FFFFFF"/>
                <w:sz w:val="18"/>
              </w:rPr>
              <w:t>Wojciech</w:t>
            </w:r>
          </w:p>
        </w:tc>
        <w:tc>
          <w:tcPr>
            <w:tcW w:type="dxa" w:w="2541"/>
            <w:shd w:fill="1F4E79"/>
            <w:vAlign w:val="center"/>
            <w:tcMar>
              <w:top w:w="110" w:type="dxa"/>
              <w:start w:w="110" w:type="dxa"/>
              <w:bottom w:w="110" w:type="dxa"/>
              <w:end w:w="110" w:type="dxa"/>
            </w:tcMar>
          </w:tcPr>
          <w:p>
            <w:r>
              <w:rPr>
                <w:b/>
                <w:color w:val="FFFFFF"/>
                <w:sz w:val="18"/>
              </w:rPr>
              <w:t>Adjudication</w:t>
            </w:r>
          </w:p>
        </w:tc>
      </w:tr>
      <w:tr>
        <w:trPr>
          <w:cantSplit/>
        </w:trPr>
        <w:tc>
          <w:tcPr>
            <w:tcW w:type="dxa" w:w="2541"/>
            <w:vAlign w:val="center"/>
            <w:tcMar>
              <w:top w:w="95" w:type="dxa"/>
              <w:start w:w="105" w:type="dxa"/>
              <w:bottom w:w="95" w:type="dxa"/>
              <w:end w:w="105" w:type="dxa"/>
            </w:tcMar>
          </w:tcPr>
          <w:p>
            <w:pPr>
              <w:spacing w:after="0" w:line="240" w:lineRule="auto"/>
            </w:pPr>
            <w:r>
              <w:rPr>
                <w:b/>
                <w:sz w:val="16"/>
              </w:rPr>
              <w:t>Boundary causality</w:t>
            </w:r>
          </w:p>
        </w:tc>
        <w:tc>
          <w:tcPr>
            <w:tcW w:type="dxa" w:w="2541"/>
            <w:vAlign w:val="center"/>
            <w:tcMar>
              <w:top w:w="95" w:type="dxa"/>
              <w:start w:w="105" w:type="dxa"/>
              <w:bottom w:w="95" w:type="dxa"/>
              <w:end w:w="105" w:type="dxa"/>
            </w:tcMar>
          </w:tcPr>
          <w:p>
            <w:pPr>
              <w:spacing w:after="0" w:line="240" w:lineRule="auto"/>
            </w:pPr>
            <w:r>
              <w:rPr>
                <w:sz w:val="16"/>
              </w:rPr>
              <w:t>Inside/outside and matched-pair cases showed that boundary membership and conditions can flip execution.</w:t>
            </w:r>
          </w:p>
        </w:tc>
        <w:tc>
          <w:tcPr>
            <w:tcW w:type="dxa" w:w="2541"/>
            <w:vAlign w:val="center"/>
            <w:tcMar>
              <w:top w:w="95" w:type="dxa"/>
              <w:start w:w="105" w:type="dxa"/>
              <w:bottom w:w="95" w:type="dxa"/>
              <w:end w:w="105" w:type="dxa"/>
            </w:tcMar>
          </w:tcPr>
          <w:p>
            <w:pPr>
              <w:spacing w:after="0" w:line="240" w:lineRule="auto"/>
            </w:pPr>
            <w:r>
              <w:rPr>
                <w:sz w:val="16"/>
              </w:rPr>
              <w:t>SURVIVES - enforceable boundary is causally operative at execution.</w:t>
            </w:r>
          </w:p>
        </w:tc>
        <w:tc>
          <w:tcPr>
            <w:tcW w:type="dxa" w:w="2541"/>
            <w:vAlign w:val="center"/>
            <w:tcMar>
              <w:top w:w="95" w:type="dxa"/>
              <w:start w:w="105" w:type="dxa"/>
              <w:bottom w:w="95" w:type="dxa"/>
              <w:end w:w="105" w:type="dxa"/>
            </w:tcMar>
          </w:tcPr>
          <w:p>
            <w:pPr>
              <w:spacing w:after="0" w:line="240" w:lineRule="auto"/>
            </w:pPr>
            <w:r>
              <w:rPr>
                <w:sz w:val="16"/>
              </w:rPr>
              <w:t>DIRECT CONVERGENCE. Both independently support the central V2 mechanism.</w:t>
            </w:r>
          </w:p>
        </w:tc>
      </w:tr>
      <w:tr>
        <w:trPr>
          <w:cantSplit/>
        </w:trPr>
        <w:tc>
          <w:tcPr>
            <w:tcW w:type="dxa" w:w="2541"/>
            <w:vAlign w:val="center"/>
            <w:tcMar>
              <w:top w:w="95" w:type="dxa"/>
              <w:start w:w="105" w:type="dxa"/>
              <w:bottom w:w="95" w:type="dxa"/>
              <w:end w:w="105" w:type="dxa"/>
            </w:tcMar>
          </w:tcPr>
          <w:p>
            <w:pPr>
              <w:spacing w:after="0" w:line="240" w:lineRule="auto"/>
            </w:pPr>
            <w:r>
              <w:rPr>
                <w:b/>
                <w:sz w:val="16"/>
              </w:rPr>
              <w:t>Unauthorized execution</w:t>
            </w:r>
          </w:p>
        </w:tc>
        <w:tc>
          <w:tcPr>
            <w:tcW w:type="dxa" w:w="2541"/>
            <w:vAlign w:val="center"/>
            <w:tcMar>
              <w:top w:w="95" w:type="dxa"/>
              <w:start w:w="105" w:type="dxa"/>
              <w:bottom w:w="95" w:type="dxa"/>
              <w:end w:w="105" w:type="dxa"/>
            </w:tcMar>
          </w:tcPr>
          <w:p>
            <w:pPr>
              <w:spacing w:after="0" w:line="240" w:lineRule="auto"/>
            </w:pPr>
            <w:r>
              <w:rPr>
                <w:sz w:val="16"/>
              </w:rPr>
              <w:t>No tested case produced ALLOW with zero underlying executable authority; ordinary TRANSFER, REFUSE and SUSPEND paths did not leave executable authority in place.</w:t>
            </w:r>
          </w:p>
        </w:tc>
        <w:tc>
          <w:tcPr>
            <w:tcW w:type="dxa" w:w="2541"/>
            <w:vAlign w:val="center"/>
            <w:tcMar>
              <w:top w:w="95" w:type="dxa"/>
              <w:start w:w="105" w:type="dxa"/>
              <w:bottom w:w="95" w:type="dxa"/>
              <w:end w:w="105" w:type="dxa"/>
            </w:tcMar>
          </w:tcPr>
          <w:p>
            <w:pPr>
              <w:spacing w:after="0" w:line="240" w:lineRule="auto"/>
            </w:pPr>
            <w:r>
              <w:rPr>
                <w:sz w:val="16"/>
              </w:rPr>
              <w:t>SURVIVES - non-ACTIVE authority cannot create a new executable boundary.</w:t>
            </w:r>
          </w:p>
        </w:tc>
        <w:tc>
          <w:tcPr>
            <w:tcW w:type="dxa" w:w="2541"/>
            <w:vAlign w:val="center"/>
            <w:tcMar>
              <w:top w:w="95" w:type="dxa"/>
              <w:start w:w="105" w:type="dxa"/>
              <w:bottom w:w="95" w:type="dxa"/>
              <w:end w:w="105" w:type="dxa"/>
            </w:tcMar>
          </w:tcPr>
          <w:p>
            <w:pPr>
              <w:spacing w:after="0" w:line="240" w:lineRule="auto"/>
            </w:pPr>
            <w:r>
              <w:rPr>
                <w:sz w:val="16"/>
              </w:rPr>
              <w:t>STRONG POSITIVE CONVERGENCE, reached through different tests.</w:t>
            </w:r>
          </w:p>
        </w:tc>
      </w:tr>
      <w:tr>
        <w:trPr>
          <w:cantSplit/>
        </w:trPr>
        <w:tc>
          <w:tcPr>
            <w:tcW w:type="dxa" w:w="2541"/>
            <w:vAlign w:val="center"/>
            <w:tcMar>
              <w:top w:w="95" w:type="dxa"/>
              <w:start w:w="105" w:type="dxa"/>
              <w:bottom w:w="95" w:type="dxa"/>
              <w:end w:w="105" w:type="dxa"/>
            </w:tcMar>
          </w:tcPr>
          <w:p>
            <w:pPr>
              <w:spacing w:after="0" w:line="240" w:lineRule="auto"/>
            </w:pPr>
            <w:r>
              <w:rPr>
                <w:b/>
                <w:sz w:val="16"/>
              </w:rPr>
              <w:t>Correct result vs. correct causal explanation</w:t>
            </w:r>
          </w:p>
        </w:tc>
        <w:tc>
          <w:tcPr>
            <w:tcW w:type="dxa" w:w="2541"/>
            <w:vAlign w:val="center"/>
            <w:tcMar>
              <w:top w:w="95" w:type="dxa"/>
              <w:start w:w="105" w:type="dxa"/>
              <w:bottom w:w="95" w:type="dxa"/>
              <w:end w:w="105" w:type="dxa"/>
            </w:tcMar>
          </w:tcPr>
          <w:p>
            <w:pPr>
              <w:spacing w:after="0" w:line="240" w:lineRule="auto"/>
            </w:pPr>
            <w:r>
              <w:rPr>
                <w:sz w:val="16"/>
              </w:rPr>
              <w:t>F-1 produced a safe BLOCK while surfacing the wrong materiality/authority narrative.</w:t>
            </w:r>
          </w:p>
        </w:tc>
        <w:tc>
          <w:tcPr>
            <w:tcW w:type="dxa" w:w="2541"/>
            <w:vAlign w:val="center"/>
            <w:tcMar>
              <w:top w:w="95" w:type="dxa"/>
              <w:start w:w="105" w:type="dxa"/>
              <w:bottom w:w="95" w:type="dxa"/>
              <w:end w:w="105" w:type="dxa"/>
            </w:tcMar>
          </w:tcPr>
          <w:p>
            <w:pPr>
              <w:spacing w:after="0" w:line="240" w:lineRule="auto"/>
            </w:pPr>
            <w:r>
              <w:rPr>
                <w:sz w:val="16"/>
              </w:rPr>
              <w:t>SURVIVES - V2 normally retains distinct BLOCK reasons; outcome alone is not sufficient evidence of mechanism.</w:t>
            </w:r>
          </w:p>
        </w:tc>
        <w:tc>
          <w:tcPr>
            <w:tcW w:type="dxa" w:w="2541"/>
            <w:vAlign w:val="center"/>
            <w:tcMar>
              <w:top w:w="95" w:type="dxa"/>
              <w:start w:w="105" w:type="dxa"/>
              <w:bottom w:w="95" w:type="dxa"/>
              <w:end w:w="105" w:type="dxa"/>
            </w:tcMar>
          </w:tcPr>
          <w:p>
            <w:pPr>
              <w:spacing w:after="0" w:line="240" w:lineRule="auto"/>
            </w:pPr>
            <w:r>
              <w:rPr>
                <w:sz w:val="16"/>
              </w:rPr>
              <w:t>COMPLEMENTARY. Representation can preserve causes, while a specific implementation path may still populate the wrong cause.</w:t>
            </w:r>
          </w:p>
        </w:tc>
      </w:tr>
      <w:tr>
        <w:trPr>
          <w:cantSplit/>
        </w:trPr>
        <w:tc>
          <w:tcPr>
            <w:tcW w:type="dxa" w:w="2541"/>
            <w:vAlign w:val="center"/>
            <w:tcMar>
              <w:top w:w="95" w:type="dxa"/>
              <w:start w:w="105" w:type="dxa"/>
              <w:bottom w:w="95" w:type="dxa"/>
              <w:end w:w="105" w:type="dxa"/>
            </w:tcMar>
          </w:tcPr>
          <w:p>
            <w:pPr>
              <w:spacing w:after="0" w:line="240" w:lineRule="auto"/>
            </w:pPr>
            <w:r>
              <w:rPr>
                <w:b/>
                <w:sz w:val="16"/>
              </w:rPr>
              <w:t>Temporal/currentness</w:t>
            </w:r>
          </w:p>
        </w:tc>
        <w:tc>
          <w:tcPr>
            <w:tcW w:type="dxa" w:w="2541"/>
            <w:vAlign w:val="center"/>
            <w:tcMar>
              <w:top w:w="95" w:type="dxa"/>
              <w:start w:w="105" w:type="dxa"/>
              <w:bottom w:w="95" w:type="dxa"/>
              <w:end w:w="105" w:type="dxa"/>
            </w:tcMar>
          </w:tcPr>
          <w:p>
            <w:pPr>
              <w:spacing w:after="0" w:line="240" w:lineRule="auto"/>
            </w:pPr>
            <w:r>
              <w:rPr>
                <w:sz w:val="16"/>
              </w:rPr>
              <w:t>One ACCESS order/history anomaly suggested possible state propagation, but controlled retest did not reproduce it.</w:t>
            </w:r>
          </w:p>
        </w:tc>
        <w:tc>
          <w:tcPr>
            <w:tcW w:type="dxa" w:w="2541"/>
            <w:vAlign w:val="center"/>
            <w:tcMar>
              <w:top w:w="95" w:type="dxa"/>
              <w:start w:w="105" w:type="dxa"/>
              <w:bottom w:w="95" w:type="dxa"/>
              <w:end w:w="105" w:type="dxa"/>
            </w:tcMar>
          </w:tcPr>
          <w:p>
            <w:pPr>
              <w:spacing w:after="0" w:line="240" w:lineRule="auto"/>
            </w:pPr>
            <w:r>
              <w:rPr>
                <w:sz w:val="16"/>
              </w:rPr>
              <w:t>CANNOT DISCRIMINATE - V2 does not model authority becoming stale after valid boundary creation and before later execution.</w:t>
            </w:r>
          </w:p>
        </w:tc>
        <w:tc>
          <w:tcPr>
            <w:tcW w:type="dxa" w:w="2541"/>
            <w:vAlign w:val="center"/>
            <w:tcMar>
              <w:top w:w="95" w:type="dxa"/>
              <w:start w:w="105" w:type="dxa"/>
              <w:bottom w:w="95" w:type="dxa"/>
              <w:end w:w="105" w:type="dxa"/>
            </w:tcMar>
          </w:tcPr>
          <w:p>
            <w:pPr>
              <w:spacing w:after="0" w:line="240" w:lineRule="auto"/>
            </w:pPr>
            <w:r>
              <w:rPr>
                <w:sz w:val="16"/>
              </w:rPr>
              <w:t>ADJACENT, NOT DUPLICATE. Claude found an unconfirmed symptom; Wojciech located a state-transition space the representation does not model.</w:t>
            </w:r>
          </w:p>
        </w:tc>
      </w:tr>
      <w:tr>
        <w:trPr>
          <w:cantSplit/>
        </w:trPr>
        <w:tc>
          <w:tcPr>
            <w:tcW w:type="dxa" w:w="2541"/>
            <w:vAlign w:val="center"/>
            <w:tcMar>
              <w:top w:w="95" w:type="dxa"/>
              <w:start w:w="105" w:type="dxa"/>
              <w:bottom w:w="95" w:type="dxa"/>
              <w:end w:w="105" w:type="dxa"/>
            </w:tcMar>
          </w:tcPr>
          <w:p>
            <w:pPr>
              <w:spacing w:after="0" w:line="240" w:lineRule="auto"/>
            </w:pPr>
            <w:r>
              <w:rPr>
                <w:b/>
                <w:sz w:val="16"/>
              </w:rPr>
              <w:t>Authority lineage</w:t>
            </w:r>
          </w:p>
        </w:tc>
        <w:tc>
          <w:tcPr>
            <w:tcW w:type="dxa" w:w="2541"/>
            <w:vAlign w:val="center"/>
            <w:tcMar>
              <w:top w:w="95" w:type="dxa"/>
              <w:start w:w="105" w:type="dxa"/>
              <w:bottom w:w="95" w:type="dxa"/>
              <w:end w:w="105" w:type="dxa"/>
            </w:tcMar>
          </w:tcPr>
          <w:p>
            <w:pPr>
              <w:spacing w:after="0" w:line="240" w:lineRule="auto"/>
            </w:pPr>
            <w:r>
              <w:rPr>
                <w:sz w:val="16"/>
              </w:rPr>
              <w:t>Not independently isolated in the final Claude matrix.</w:t>
            </w:r>
          </w:p>
        </w:tc>
        <w:tc>
          <w:tcPr>
            <w:tcW w:type="dxa" w:w="2541"/>
            <w:vAlign w:val="center"/>
            <w:tcMar>
              <w:top w:w="95" w:type="dxa"/>
              <w:start w:w="105" w:type="dxa"/>
              <w:bottom w:w="95" w:type="dxa"/>
              <w:end w:w="105" w:type="dxa"/>
            </w:tcMar>
          </w:tcPr>
          <w:p>
            <w:pPr>
              <w:spacing w:after="0" w:line="240" w:lineRule="auto"/>
            </w:pPr>
            <w:r>
              <w:rPr>
                <w:sz w:val="16"/>
              </w:rPr>
              <w:t>CANNOT DISCRIMINATE - lineage is recorded and auditable but not independently consumed as an execution predicate after boundary creation.</w:t>
            </w:r>
          </w:p>
        </w:tc>
        <w:tc>
          <w:tcPr>
            <w:tcW w:type="dxa" w:w="2541"/>
            <w:vAlign w:val="center"/>
            <w:tcMar>
              <w:top w:w="95" w:type="dxa"/>
              <w:start w:w="105" w:type="dxa"/>
              <w:bottom w:w="95" w:type="dxa"/>
              <w:end w:w="105" w:type="dxa"/>
            </w:tcMar>
          </w:tcPr>
          <w:p>
            <w:pPr>
              <w:spacing w:after="0" w:line="240" w:lineRule="auto"/>
            </w:pPr>
            <w:r>
              <w:rPr>
                <w:sz w:val="16"/>
              </w:rPr>
              <w:t>WOJCIECH-UNIQUE FINDING.</w:t>
            </w:r>
          </w:p>
        </w:tc>
      </w:tr>
      <w:tr>
        <w:trPr>
          <w:cantSplit/>
        </w:trPr>
        <w:tc>
          <w:tcPr>
            <w:tcW w:type="dxa" w:w="2541"/>
            <w:vAlign w:val="center"/>
            <w:tcMar>
              <w:top w:w="95" w:type="dxa"/>
              <w:start w:w="105" w:type="dxa"/>
              <w:bottom w:w="95" w:type="dxa"/>
              <w:end w:w="105" w:type="dxa"/>
            </w:tcMar>
          </w:tcPr>
          <w:p>
            <w:pPr>
              <w:spacing w:after="0" w:line="240" w:lineRule="auto"/>
            </w:pPr>
            <w:r>
              <w:rPr>
                <w:b/>
                <w:sz w:val="16"/>
              </w:rPr>
              <w:t>Policy/scenario drift</w:t>
            </w:r>
          </w:p>
        </w:tc>
        <w:tc>
          <w:tcPr>
            <w:tcW w:type="dxa" w:w="2541"/>
            <w:vAlign w:val="center"/>
            <w:tcMar>
              <w:top w:w="95" w:type="dxa"/>
              <w:start w:w="105" w:type="dxa"/>
              <w:bottom w:w="95" w:type="dxa"/>
              <w:end w:w="105" w:type="dxa"/>
            </w:tcMar>
          </w:tcPr>
          <w:p>
            <w:pPr>
              <w:spacing w:after="0" w:line="240" w:lineRule="auto"/>
            </w:pPr>
            <w:r>
              <w:rPr>
                <w:sz w:val="16"/>
              </w:rPr>
              <w:t>Not isolated as a distinct representational attack.</w:t>
            </w:r>
          </w:p>
        </w:tc>
        <w:tc>
          <w:tcPr>
            <w:tcW w:type="dxa" w:w="2541"/>
            <w:vAlign w:val="center"/>
            <w:tcMar>
              <w:top w:w="95" w:type="dxa"/>
              <w:start w:w="105" w:type="dxa"/>
              <w:bottom w:w="95" w:type="dxa"/>
              <w:end w:w="105" w:type="dxa"/>
            </w:tcMar>
          </w:tcPr>
          <w:p>
            <w:pPr>
              <w:spacing w:after="0" w:line="240" w:lineRule="auto"/>
            </w:pPr>
            <w:r>
              <w:rPr>
                <w:sz w:val="16"/>
              </w:rPr>
              <w:t>NOT INDEPENDENT - subsumed by governing provenance because scenarioVersion and policyVersion are recorded but not execution predicates.</w:t>
            </w:r>
          </w:p>
        </w:tc>
        <w:tc>
          <w:tcPr>
            <w:tcW w:type="dxa" w:w="2541"/>
            <w:vAlign w:val="center"/>
            <w:tcMar>
              <w:top w:w="95" w:type="dxa"/>
              <w:start w:w="105" w:type="dxa"/>
              <w:bottom w:w="95" w:type="dxa"/>
              <w:end w:w="105" w:type="dxa"/>
            </w:tcMar>
          </w:tcPr>
          <w:p>
            <w:pPr>
              <w:spacing w:after="0" w:line="240" w:lineRule="auto"/>
            </w:pPr>
            <w:r>
              <w:rPr>
                <w:sz w:val="16"/>
              </w:rPr>
              <w:t>WOJCIECH-UNIQUE CLASSIFICATION.</w:t>
            </w:r>
          </w:p>
        </w:tc>
      </w:tr>
      <w:tr>
        <w:trPr>
          <w:cantSplit/>
        </w:trPr>
        <w:tc>
          <w:tcPr>
            <w:tcW w:type="dxa" w:w="2541"/>
            <w:vAlign w:val="center"/>
            <w:tcMar>
              <w:top w:w="95" w:type="dxa"/>
              <w:start w:w="105" w:type="dxa"/>
              <w:bottom w:w="95" w:type="dxa"/>
              <w:end w:w="105" w:type="dxa"/>
            </w:tcMar>
          </w:tcPr>
          <w:p>
            <w:pPr>
              <w:spacing w:after="0" w:line="240" w:lineRule="auto"/>
            </w:pPr>
            <w:r>
              <w:rPr>
                <w:b/>
                <w:sz w:val="16"/>
              </w:rPr>
              <w:t>Replay</w:t>
            </w:r>
          </w:p>
        </w:tc>
        <w:tc>
          <w:tcPr>
            <w:tcW w:type="dxa" w:w="2541"/>
            <w:vAlign w:val="center"/>
            <w:tcMar>
              <w:top w:w="95" w:type="dxa"/>
              <w:start w:w="105" w:type="dxa"/>
              <w:bottom w:w="95" w:type="dxa"/>
              <w:end w:w="105" w:type="dxa"/>
            </w:tcMar>
          </w:tcPr>
          <w:p>
            <w:pPr>
              <w:spacing w:after="0" w:line="240" w:lineRule="auto"/>
            </w:pPr>
            <w:r>
              <w:rPr>
                <w:sz w:val="16"/>
              </w:rPr>
              <w:t>Only 1 of 60 replay/determinism families was executed in the final Claude review.</w:t>
            </w:r>
          </w:p>
        </w:tc>
        <w:tc>
          <w:tcPr>
            <w:tcW w:type="dxa" w:w="2541"/>
            <w:vAlign w:val="center"/>
            <w:tcMar>
              <w:top w:w="95" w:type="dxa"/>
              <w:start w:w="105" w:type="dxa"/>
              <w:bottom w:w="95" w:type="dxa"/>
              <w:end w:w="105" w:type="dxa"/>
            </w:tcMar>
          </w:tcPr>
          <w:p>
            <w:pPr>
              <w:spacing w:after="0" w:line="240" w:lineRule="auto"/>
            </w:pPr>
            <w:r>
              <w:rPr>
                <w:sz w:val="16"/>
              </w:rPr>
              <w:t>REPLAY - official replay regenerates the governed chain; boundary artifact is not independently bound to its originating run or authority epoch.</w:t>
            </w:r>
          </w:p>
        </w:tc>
        <w:tc>
          <w:tcPr>
            <w:tcW w:type="dxa" w:w="2541"/>
            <w:vAlign w:val="center"/>
            <w:tcMar>
              <w:top w:w="95" w:type="dxa"/>
              <w:start w:w="105" w:type="dxa"/>
              <w:bottom w:w="95" w:type="dxa"/>
              <w:end w:w="105" w:type="dxa"/>
            </w:tcMar>
          </w:tcPr>
          <w:p>
            <w:pPr>
              <w:spacing w:after="0" w:line="240" w:lineRule="auto"/>
            </w:pPr>
            <w:r>
              <w:rPr>
                <w:sz w:val="16"/>
              </w:rPr>
              <w:t>WOJCIECH PROVIDES THE STRONGER ARCHITECTURAL RESULT; Claude coverage is insufficient for a strong cross-check.</w:t>
            </w:r>
          </w:p>
        </w:tc>
      </w:tr>
      <w:tr>
        <w:trPr>
          <w:cantSplit/>
        </w:trPr>
        <w:tc>
          <w:tcPr>
            <w:tcW w:type="dxa" w:w="2541"/>
            <w:vAlign w:val="center"/>
            <w:tcMar>
              <w:top w:w="95" w:type="dxa"/>
              <w:start w:w="105" w:type="dxa"/>
              <w:bottom w:w="95" w:type="dxa"/>
              <w:end w:w="105" w:type="dxa"/>
            </w:tcMar>
          </w:tcPr>
          <w:p>
            <w:pPr>
              <w:spacing w:after="0" w:line="240" w:lineRule="auto"/>
            </w:pPr>
            <w:r>
              <w:rPr>
                <w:b/>
                <w:sz w:val="16"/>
              </w:rPr>
              <w:t>Wrong organizational boundary</w:t>
            </w:r>
          </w:p>
        </w:tc>
        <w:tc>
          <w:tcPr>
            <w:tcW w:type="dxa" w:w="2541"/>
            <w:vAlign w:val="center"/>
            <w:tcMar>
              <w:top w:w="95" w:type="dxa"/>
              <w:start w:w="105" w:type="dxa"/>
              <w:bottom w:w="95" w:type="dxa"/>
              <w:end w:w="105" w:type="dxa"/>
            </w:tcMar>
          </w:tcPr>
          <w:p>
            <w:pPr>
              <w:spacing w:after="0" w:line="240" w:lineRule="auto"/>
            </w:pPr>
            <w:r>
              <w:rPr>
                <w:sz w:val="16"/>
              </w:rPr>
              <w:t>Procurement NARROW exposed a dispute over whether the selected governed metric was being honored or whether the old equipment-price basis was intentionally being narrowed.</w:t>
            </w:r>
          </w:p>
        </w:tc>
        <w:tc>
          <w:tcPr>
            <w:tcW w:type="dxa" w:w="2541"/>
            <w:vAlign w:val="center"/>
            <w:tcMar>
              <w:top w:w="95" w:type="dxa"/>
              <w:start w:w="105" w:type="dxa"/>
              <w:bottom w:w="95" w:type="dxa"/>
              <w:end w:w="105" w:type="dxa"/>
            </w:tcMar>
          </w:tcPr>
          <w:p>
            <w:pPr>
              <w:spacing w:after="0" w:line="240" w:lineRule="auto"/>
            </w:pPr>
            <w:r>
              <w:rPr>
                <w:sz w:val="16"/>
              </w:rPr>
              <w:t>KNOWN LIMIT - correct enforcement does not prove the organization specified the correct authority boundary.</w:t>
            </w:r>
          </w:p>
        </w:tc>
        <w:tc>
          <w:tcPr>
            <w:tcW w:type="dxa" w:w="2541"/>
            <w:vAlign w:val="center"/>
            <w:tcMar>
              <w:top w:w="95" w:type="dxa"/>
              <w:start w:w="105" w:type="dxa"/>
              <w:bottom w:w="95" w:type="dxa"/>
              <w:end w:w="105" w:type="dxa"/>
            </w:tcMar>
          </w:tcPr>
          <w:p>
            <w:pPr>
              <w:spacing w:after="0" w:line="240" w:lineRule="auto"/>
            </w:pPr>
            <w:r>
              <w:rPr>
                <w:sz w:val="16"/>
              </w:rPr>
              <w:t>STRONG CONCEPTUAL CONVERGENCE on enforcement correctness versus authority/specification correctness.</w:t>
            </w:r>
          </w:p>
        </w:tc>
      </w:tr>
      <w:tr>
        <w:trPr>
          <w:cantSplit/>
        </w:trPr>
        <w:tc>
          <w:tcPr>
            <w:tcW w:type="dxa" w:w="2541"/>
            <w:vAlign w:val="center"/>
            <w:tcMar>
              <w:top w:w="95" w:type="dxa"/>
              <w:start w:w="105" w:type="dxa"/>
              <w:bottom w:w="95" w:type="dxa"/>
              <w:end w:w="105" w:type="dxa"/>
            </w:tcMar>
          </w:tcPr>
          <w:p>
            <w:pPr>
              <w:spacing w:after="0" w:line="240" w:lineRule="auto"/>
            </w:pPr>
            <w:r>
              <w:rPr>
                <w:b/>
                <w:sz w:val="16"/>
              </w:rPr>
              <w:t>Semantic decision-object identity</w:t>
            </w:r>
          </w:p>
        </w:tc>
        <w:tc>
          <w:tcPr>
            <w:tcW w:type="dxa" w:w="2541"/>
            <w:vAlign w:val="center"/>
            <w:tcMar>
              <w:top w:w="95" w:type="dxa"/>
              <w:start w:w="105" w:type="dxa"/>
              <w:bottom w:w="95" w:type="dxa"/>
              <w:end w:w="105" w:type="dxa"/>
            </w:tcMar>
          </w:tcPr>
          <w:p>
            <w:pPr>
              <w:spacing w:after="0" w:line="240" w:lineRule="auto"/>
            </w:pPr>
            <w:r>
              <w:rPr>
                <w:sz w:val="16"/>
              </w:rPr>
              <w:t>Not isolated as an independent attack.</w:t>
            </w:r>
          </w:p>
        </w:tc>
        <w:tc>
          <w:tcPr>
            <w:tcW w:type="dxa" w:w="2541"/>
            <w:vAlign w:val="center"/>
            <w:tcMar>
              <w:top w:w="95" w:type="dxa"/>
              <w:start w:w="105" w:type="dxa"/>
              <w:bottom w:w="95" w:type="dxa"/>
              <w:end w:w="105" w:type="dxa"/>
            </w:tcMar>
          </w:tcPr>
          <w:p>
            <w:pPr>
              <w:spacing w:after="0" w:line="240" w:lineRule="auto"/>
            </w:pPr>
            <w:r>
              <w:rPr>
                <w:sz w:val="16"/>
              </w:rPr>
              <w:t>REPRESENTATION BOUNDARY - identical executable shape cannot independently encode a different semantic authorized-decision identity.</w:t>
            </w:r>
          </w:p>
        </w:tc>
        <w:tc>
          <w:tcPr>
            <w:tcW w:type="dxa" w:w="2541"/>
            <w:vAlign w:val="center"/>
            <w:tcMar>
              <w:top w:w="95" w:type="dxa"/>
              <w:start w:w="105" w:type="dxa"/>
              <w:bottom w:w="95" w:type="dxa"/>
              <w:end w:w="105" w:type="dxa"/>
            </w:tcMar>
          </w:tcPr>
          <w:p>
            <w:pPr>
              <w:spacing w:after="0" w:line="240" w:lineRule="auto"/>
            </w:pPr>
            <w:r>
              <w:rPr>
                <w:sz w:val="16"/>
              </w:rPr>
              <w:t>WOJCIECH-UNIQUE FINDING.</w:t>
            </w:r>
          </w:p>
        </w:tc>
      </w:tr>
      <w:tr>
        <w:trPr>
          <w:cantSplit/>
        </w:trPr>
        <w:tc>
          <w:tcPr>
            <w:tcW w:type="dxa" w:w="2541"/>
            <w:vAlign w:val="center"/>
            <w:tcMar>
              <w:top w:w="95" w:type="dxa"/>
              <w:start w:w="105" w:type="dxa"/>
              <w:bottom w:w="95" w:type="dxa"/>
              <w:end w:w="105" w:type="dxa"/>
            </w:tcMar>
          </w:tcPr>
          <w:p>
            <w:pPr>
              <w:spacing w:after="0" w:line="240" w:lineRule="auto"/>
            </w:pPr>
            <w:r>
              <w:rPr>
                <w:b/>
                <w:sz w:val="16"/>
              </w:rPr>
              <w:t>Coverage character</w:t>
            </w:r>
          </w:p>
        </w:tc>
        <w:tc>
          <w:tcPr>
            <w:tcW w:type="dxa" w:w="2541"/>
            <w:vAlign w:val="center"/>
            <w:tcMar>
              <w:top w:w="95" w:type="dxa"/>
              <w:start w:w="105" w:type="dxa"/>
              <w:bottom w:w="95" w:type="dxa"/>
              <w:end w:w="105" w:type="dxa"/>
            </w:tcMar>
          </w:tcPr>
          <w:p>
            <w:pPr>
              <w:spacing w:after="0" w:line="240" w:lineRule="auto"/>
            </w:pPr>
            <w:r>
              <w:rPr>
                <w:sz w:val="16"/>
              </w:rPr>
              <w:t>Broad curated browser matrix with all 34 declared categorical options exercised at least once; important disclosed gaps remain.</w:t>
            </w:r>
          </w:p>
        </w:tc>
        <w:tc>
          <w:tcPr>
            <w:tcW w:type="dxa" w:w="2541"/>
            <w:vAlign w:val="center"/>
            <w:tcMar>
              <w:top w:w="95" w:type="dxa"/>
              <w:start w:w="105" w:type="dxa"/>
              <w:bottom w:w="95" w:type="dxa"/>
              <w:end w:w="105" w:type="dxa"/>
            </w:tcMar>
          </w:tcPr>
          <w:p>
            <w:pPr>
              <w:spacing w:after="0" w:line="240" w:lineRule="auto"/>
            </w:pPr>
            <w:r>
              <w:rPr>
                <w:sz w:val="16"/>
              </w:rPr>
              <w:t>Attack-oriented conceptual and implementation review continued until no further meaningful V2-only attack remained.</w:t>
            </w:r>
          </w:p>
        </w:tc>
        <w:tc>
          <w:tcPr>
            <w:tcW w:type="dxa" w:w="2541"/>
            <w:vAlign w:val="center"/>
            <w:tcMar>
              <w:top w:w="95" w:type="dxa"/>
              <w:start w:w="105" w:type="dxa"/>
              <w:bottom w:w="95" w:type="dxa"/>
              <w:end w:w="105" w:type="dxa"/>
            </w:tcMar>
          </w:tcPr>
          <w:p>
            <w:pPr>
              <w:spacing w:after="0" w:line="240" w:lineRule="auto"/>
            </w:pPr>
            <w:r>
              <w:rPr>
                <w:sz w:val="16"/>
              </w:rPr>
              <w:t>COMPLEMENTARY METHODOLOGIES: Claude supplies breadth; Wojciech supplies depth around authority semantics and representation boundaries.</w:t>
            </w:r>
          </w:p>
        </w:tc>
      </w:tr>
    </w:tbl>
    <w:p>
      <w:pPr>
        <w:pStyle w:val="Heading1"/>
        <w:keepNext/>
      </w:pPr>
      <w:r>
        <w:t>4. What Both Reviews Independently Support</w:t>
      </w:r>
    </w:p>
    <w:p>
      <w:pPr>
        <w:pStyle w:val="Heading2"/>
        <w:keepNext/>
      </w:pPr>
      <w:r>
        <w:t>4.1 The enforceable boundary is not decorative</w:t>
      </w:r>
    </w:p>
    <w:p>
      <w:r>
        <w:t>Both review paths support the proposition that the enforceable boundary performs causal work at execution. Claude observed outcome changes when boundary membership or conditions changed. Wojciech independently attacked whether the boundary merely reproduced an upstream governance decision and concluded that it was causally operative.</w:t>
      </w:r>
    </w:p>
    <w:p>
      <w:pPr>
        <w:pStyle w:val="Heading2"/>
        <w:keepNext/>
      </w:pPr>
      <w:r>
        <w:t>4.2 V2 did not reveal a zero-authority execution bypass in the tested ordinary paths</w:t>
      </w:r>
    </w:p>
    <w:p>
      <w:r>
        <w:t>Claude found no tested ALLOW with zero underlying executable authority. Wojciech independently confirmed the boundary-creation rule: non-ACTIVE authority cannot create a new executable boundary.</w:t>
      </w:r>
    </w:p>
    <w:p>
      <w:pPr>
        <w:pStyle w:val="Heading2"/>
        <w:keepNext/>
      </w:pPr>
      <w:r>
        <w:t>4.3 Correct enforcement is not the same as correct organizational authority</w:t>
      </w:r>
    </w:p>
    <w:p>
      <w:r>
        <w:t>Claude's Procurement finding and Wojciech's known-limit classification converge on a deeper distinction: a system can enforce a boundary correctly while the organization has defined the wrong boundary or wrong governed quantity.</w:t>
      </w:r>
    </w:p>
    <w:p>
      <w:pPr>
        <w:pStyle w:val="Heading2"/>
        <w:keepNext/>
      </w:pPr>
      <w:r>
        <w:t>4.4 Outcome accuracy alone is not sufficient</w:t>
      </w:r>
    </w:p>
    <w:p>
      <w:r>
        <w:t>Claude F-1 demonstrates that a safe final BLOCK can still carry an incorrect causal narrative. Wojciech's review independently treated mechanism and explanation as part of the evaluation rather than accepting aggregate ALLOW/BLOCK accuracy as enough.</w:t>
      </w:r>
    </w:p>
    <w:p>
      <w:pPr>
        <w:pStyle w:val="Heading1"/>
        <w:keepNext/>
      </w:pPr>
      <w:r>
        <w:t>5. Findings That Should Not Be Collapsed</w:t>
      </w:r>
    </w:p>
    <w:p>
      <w:pPr>
        <w:pStyle w:val="Heading2"/>
        <w:keepNext/>
      </w:pPr>
      <w:r>
        <w:t>5.1 Claude ACCESS anomaly vs. Wojciech temporal continuity</w:t>
      </w:r>
    </w:p>
    <w:p>
      <w:r>
        <w:t>Claude observed one order/history anomaly that did not survive controlled reproduction. It remains REVIEW REQUIRED / not reproduced. Wojciech's temporal finding is different: V2 lacks a represented t0 -&gt; t1 -&gt; t2 trajectory in which a valid boundary persists after its source authority becomes stale. The Claude anomaly should not be promoted into proof of Wojciech's temporal gap, and Wojciech's gap should not be reduced to Claude's client-state symptom.</w:t>
      </w:r>
    </w:p>
    <w:p>
      <w:pPr>
        <w:pStyle w:val="Heading2"/>
        <w:keepNext/>
      </w:pPr>
      <w:r>
        <w:t>5.2 Claude F-1 vs. Wojciech BLOCK-reason survival</w:t>
      </w:r>
    </w:p>
    <w:p>
      <w:r>
        <w:t>These are not contradictory. Wojciech shows that V2 has representational capacity for distinct BLOCK causes. Claude F-1 suggests that a particular implementation path can nevertheless populate the evidence trail with the wrong causal object or explanation. The combined interpretation is stronger than either alone.</w:t>
      </w:r>
    </w:p>
    <w:p>
      <w:pPr>
        <w:pStyle w:val="Heading2"/>
        <w:keepNext/>
      </w:pPr>
      <w:r>
        <w:t>5.3 Temporal continuity vs. governing provenance</w:t>
      </w:r>
    </w:p>
    <w:p>
      <w:r>
        <w:t>Wojciech deliberately keeps these separate. Temporal continuity asks whether legitimately created authority remains current over time. Governing provenance asks whether the legitimacy of recorded lineage can independently matter at execution after boundary creation. Both meet at the post-boundary architectural boundary, but they are distinct questions.</w:t>
      </w:r>
    </w:p>
    <w:p>
      <w:pPr>
        <w:pStyle w:val="Heading1"/>
        <w:keepNext/>
      </w:pPr>
      <w:r>
        <w:t>6. Current Adjudication by Finding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375623"/>
            <w:tcMar>
              <w:top w:w="100" w:type="dxa"/>
              <w:start w:w="120" w:type="dxa"/>
              <w:bottom w:w="100" w:type="dxa"/>
              <w:end w:w="120" w:type="dxa"/>
            </w:tcMar>
          </w:tcPr>
          <w:p>
            <w:r>
              <w:rPr>
                <w:b/>
                <w:color w:val="FFFFFF"/>
                <w:sz w:val="18"/>
              </w:rPr>
              <w:t>Item</w:t>
            </w:r>
          </w:p>
        </w:tc>
        <w:tc>
          <w:tcPr>
            <w:tcW w:type="dxa" w:w="3389"/>
            <w:shd w:fill="375623"/>
            <w:tcMar>
              <w:top w:w="100" w:type="dxa"/>
              <w:start w:w="120" w:type="dxa"/>
              <w:bottom w:w="100" w:type="dxa"/>
              <w:end w:w="120" w:type="dxa"/>
            </w:tcMar>
          </w:tcPr>
          <w:p>
            <w:r>
              <w:rPr>
                <w:b/>
                <w:color w:val="FFFFFF"/>
                <w:sz w:val="18"/>
              </w:rPr>
              <w:t>Current classification</w:t>
            </w:r>
          </w:p>
        </w:tc>
        <w:tc>
          <w:tcPr>
            <w:tcW w:type="dxa" w:w="3389"/>
            <w:shd w:fill="375623"/>
            <w:tcMar>
              <w:top w:w="100" w:type="dxa"/>
              <w:start w:w="120" w:type="dxa"/>
              <w:bottom w:w="100" w:type="dxa"/>
              <w:end w:w="120" w:type="dxa"/>
            </w:tcMar>
          </w:tcPr>
          <w:p>
            <w:r>
              <w:rPr>
                <w:b/>
                <w:color w:val="FFFFFF"/>
                <w:sz w:val="18"/>
              </w:rPr>
              <w:t>Rationale</w:t>
            </w:r>
          </w:p>
        </w:tc>
      </w:tr>
      <w:tr>
        <w:trPr>
          <w:cantSplit/>
        </w:trPr>
        <w:tc>
          <w:tcPr>
            <w:tcW w:type="dxa" w:w="3389"/>
            <w:tcMar>
              <w:top w:w="95" w:type="dxa"/>
              <w:start w:w="105" w:type="dxa"/>
              <w:bottom w:w="95" w:type="dxa"/>
              <w:end w:w="105" w:type="dxa"/>
            </w:tcMar>
            <w:vAlign w:val="center"/>
          </w:tcPr>
          <w:p>
            <w:pPr>
              <w:spacing w:after="0" w:line="240" w:lineRule="auto"/>
            </w:pPr>
            <w:r>
              <w:rPr>
                <w:b/>
                <w:sz w:val="17"/>
              </w:rPr>
              <w:t>V2 CENTRAL HYPOTHESIS</w:t>
            </w:r>
          </w:p>
        </w:tc>
        <w:tc>
          <w:tcPr>
            <w:tcW w:type="dxa" w:w="3389"/>
            <w:tcMar>
              <w:top w:w="95" w:type="dxa"/>
              <w:start w:w="105" w:type="dxa"/>
              <w:bottom w:w="95" w:type="dxa"/>
              <w:end w:w="105" w:type="dxa"/>
            </w:tcMar>
            <w:vAlign w:val="center"/>
          </w:tcPr>
          <w:p>
            <w:pPr>
              <w:spacing w:after="0" w:line="240" w:lineRule="auto"/>
            </w:pPr>
            <w:r>
              <w:rPr>
                <w:sz w:val="17"/>
              </w:rPr>
              <w:t>SURVIVES within represented/tested scope</w:t>
            </w:r>
          </w:p>
        </w:tc>
        <w:tc>
          <w:tcPr>
            <w:tcW w:type="dxa" w:w="3389"/>
            <w:tcMar>
              <w:top w:w="95" w:type="dxa"/>
              <w:start w:w="105" w:type="dxa"/>
              <w:bottom w:w="95" w:type="dxa"/>
              <w:end w:w="105" w:type="dxa"/>
            </w:tcMar>
            <w:vAlign w:val="center"/>
          </w:tcPr>
          <w:p>
            <w:pPr>
              <w:spacing w:after="0" w:line="240" w:lineRule="auto"/>
            </w:pPr>
            <w:r>
              <w:rPr>
                <w:sz w:val="17"/>
              </w:rPr>
              <w:t>Neither independent review demonstrated that the enforceable boundary is merely ceremonial or routinely bypassed. V2 demonstrates causal enforcement of a represented current operative boundary.</w:t>
            </w:r>
          </w:p>
        </w:tc>
      </w:tr>
      <w:tr>
        <w:trPr>
          <w:cantSplit/>
        </w:trPr>
        <w:tc>
          <w:tcPr>
            <w:tcW w:type="dxa" w:w="3389"/>
            <w:tcMar>
              <w:top w:w="95" w:type="dxa"/>
              <w:start w:w="105" w:type="dxa"/>
              <w:bottom w:w="95" w:type="dxa"/>
              <w:end w:w="105" w:type="dxa"/>
            </w:tcMar>
            <w:vAlign w:val="center"/>
          </w:tcPr>
          <w:p>
            <w:pPr>
              <w:spacing w:after="0" w:line="240" w:lineRule="auto"/>
            </w:pPr>
            <w:r>
              <w:rPr>
                <w:b/>
                <w:sz w:val="17"/>
              </w:rPr>
              <w:t>CLAUDE F-1 - REFUND TRANSFER empty owner</w:t>
            </w:r>
          </w:p>
        </w:tc>
        <w:tc>
          <w:tcPr>
            <w:tcW w:type="dxa" w:w="3389"/>
            <w:tcMar>
              <w:top w:w="95" w:type="dxa"/>
              <w:start w:w="105" w:type="dxa"/>
              <w:bottom w:w="95" w:type="dxa"/>
              <w:end w:w="105" w:type="dxa"/>
            </w:tcMar>
            <w:vAlign w:val="center"/>
          </w:tcPr>
          <w:p>
            <w:pPr>
              <w:spacing w:after="0" w:line="240" w:lineRule="auto"/>
            </w:pPr>
            <w:r>
              <w:rPr>
                <w:sz w:val="17"/>
              </w:rPr>
              <w:t>PROBABLE IMPLEMENTATION / EVIDENCE-INTEGRITY DEFECT</w:t>
            </w:r>
          </w:p>
        </w:tc>
        <w:tc>
          <w:tcPr>
            <w:tcW w:type="dxa" w:w="3389"/>
            <w:tcMar>
              <w:top w:w="95" w:type="dxa"/>
              <w:start w:w="105" w:type="dxa"/>
              <w:bottom w:w="95" w:type="dxa"/>
              <w:end w:w="105" w:type="dxa"/>
            </w:tcMar>
            <w:vAlign w:val="center"/>
          </w:tcPr>
          <w:p>
            <w:pPr>
              <w:spacing w:after="0" w:line="240" w:lineRule="auto"/>
            </w:pPr>
            <w:r>
              <w:rPr>
                <w:sz w:val="17"/>
              </w:rPr>
              <w:t>A safe BLOCK with a false authority/materiality narrative is material in an evidence-producing research instrument. Reproduction and source adjudication are still required before remediation.</w:t>
            </w:r>
          </w:p>
        </w:tc>
      </w:tr>
      <w:tr>
        <w:trPr>
          <w:cantSplit/>
        </w:trPr>
        <w:tc>
          <w:tcPr>
            <w:tcW w:type="dxa" w:w="3389"/>
            <w:tcMar>
              <w:top w:w="95" w:type="dxa"/>
              <w:start w:w="105" w:type="dxa"/>
              <w:bottom w:w="95" w:type="dxa"/>
              <w:end w:w="105" w:type="dxa"/>
            </w:tcMar>
            <w:vAlign w:val="center"/>
          </w:tcPr>
          <w:p>
            <w:pPr>
              <w:spacing w:after="0" w:line="240" w:lineRule="auto"/>
            </w:pPr>
            <w:r>
              <w:rPr>
                <w:b/>
                <w:sz w:val="17"/>
              </w:rPr>
              <w:t>CLAUDE F-2 - PROCUREMENT NARROW governed metric</w:t>
            </w:r>
          </w:p>
        </w:tc>
        <w:tc>
          <w:tcPr>
            <w:tcW w:type="dxa" w:w="3389"/>
            <w:tcMar>
              <w:top w:w="95" w:type="dxa"/>
              <w:start w:w="105" w:type="dxa"/>
              <w:bottom w:w="95" w:type="dxa"/>
              <w:end w:w="105" w:type="dxa"/>
            </w:tcMar>
            <w:vAlign w:val="center"/>
          </w:tcPr>
          <w:p>
            <w:pPr>
              <w:spacing w:after="0" w:line="240" w:lineRule="auto"/>
            </w:pPr>
            <w:r>
              <w:rPr>
                <w:sz w:val="17"/>
              </w:rPr>
              <w:t>SPECIFICATION / EXPERIMENTAL-SEMANTICS QUESTION; NOT YET ADJUDICATED AS IMPLEMENTATION DEFECT</w:t>
            </w:r>
          </w:p>
        </w:tc>
        <w:tc>
          <w:tcPr>
            <w:tcW w:type="dxa" w:w="3389"/>
            <w:tcMar>
              <w:top w:w="95" w:type="dxa"/>
              <w:start w:w="105" w:type="dxa"/>
              <w:bottom w:w="95" w:type="dxa"/>
              <w:end w:w="105" w:type="dxa"/>
            </w:tcMar>
            <w:vAlign w:val="center"/>
          </w:tcPr>
          <w:p>
            <w:pPr>
              <w:spacing w:after="0" w:line="240" w:lineRule="auto"/>
            </w:pPr>
            <w:r>
              <w:rPr>
                <w:sz w:val="17"/>
              </w:rPr>
              <w:t>The key question is what NARROW was intended to mean: narrow the currently selected governed metric, or narrow the old equipment-price authority while RENEW changes the governed basis. The governing specification must decide the oracle.</w:t>
            </w:r>
          </w:p>
        </w:tc>
      </w:tr>
      <w:tr>
        <w:trPr>
          <w:cantSplit/>
        </w:trPr>
        <w:tc>
          <w:tcPr>
            <w:tcW w:type="dxa" w:w="3389"/>
            <w:tcMar>
              <w:top w:w="95" w:type="dxa"/>
              <w:start w:w="105" w:type="dxa"/>
              <w:bottom w:w="95" w:type="dxa"/>
              <w:end w:w="105" w:type="dxa"/>
            </w:tcMar>
            <w:vAlign w:val="center"/>
          </w:tcPr>
          <w:p>
            <w:pPr>
              <w:spacing w:after="0" w:line="240" w:lineRule="auto"/>
            </w:pPr>
            <w:r>
              <w:rPr>
                <w:b/>
                <w:sz w:val="17"/>
              </w:rPr>
              <w:t>CLAUDE ACCESS order/history anomaly</w:t>
            </w:r>
          </w:p>
        </w:tc>
        <w:tc>
          <w:tcPr>
            <w:tcW w:type="dxa" w:w="3389"/>
            <w:tcMar>
              <w:top w:w="95" w:type="dxa"/>
              <w:start w:w="105" w:type="dxa"/>
              <w:bottom w:w="95" w:type="dxa"/>
              <w:end w:w="105" w:type="dxa"/>
            </w:tcMar>
            <w:vAlign w:val="center"/>
          </w:tcPr>
          <w:p>
            <w:pPr>
              <w:spacing w:after="0" w:line="240" w:lineRule="auto"/>
            </w:pPr>
            <w:r>
              <w:rPr>
                <w:sz w:val="17"/>
              </w:rPr>
              <w:t>NOT REPRODUCED / REVIEW REQUIRED</w:t>
            </w:r>
          </w:p>
        </w:tc>
        <w:tc>
          <w:tcPr>
            <w:tcW w:type="dxa" w:w="3389"/>
            <w:tcMar>
              <w:top w:w="95" w:type="dxa"/>
              <w:start w:w="105" w:type="dxa"/>
              <w:bottom w:w="95" w:type="dxa"/>
              <w:end w:w="105" w:type="dxa"/>
            </w:tcMar>
            <w:vAlign w:val="center"/>
          </w:tcPr>
          <w:p>
            <w:pPr>
              <w:spacing w:after="0" w:line="240" w:lineRule="auto"/>
            </w:pPr>
            <w:r>
              <w:rPr>
                <w:sz w:val="17"/>
              </w:rPr>
              <w:t>Preserve the observation. Do not convert it into a confirmed temporal defect.</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WOJCIECH temporal continuity</w:t>
            </w:r>
          </w:p>
        </w:tc>
        <w:tc>
          <w:tcPr>
            <w:tcW w:type="dxa" w:w="3389"/>
            <w:tcMar>
              <w:top w:w="95" w:type="dxa"/>
              <w:start w:w="105" w:type="dxa"/>
              <w:bottom w:w="95" w:type="dxa"/>
              <w:end w:w="105" w:type="dxa"/>
            </w:tcMar>
            <w:vAlign w:val="center"/>
          </w:tcPr>
          <w:p>
            <w:pPr>
              <w:spacing w:after="0" w:line="240" w:lineRule="auto"/>
            </w:pPr>
            <w:r>
              <w:rPr>
                <w:sz w:val="17"/>
              </w:rPr>
              <w:t>MODEL / REPRESENTATION LIMITATION + RESEARCH QUESTION</w:t>
            </w:r>
          </w:p>
        </w:tc>
        <w:tc>
          <w:tcPr>
            <w:tcW w:type="dxa" w:w="3389"/>
            <w:tcMar>
              <w:top w:w="95" w:type="dxa"/>
              <w:start w:w="105" w:type="dxa"/>
              <w:bottom w:w="95" w:type="dxa"/>
              <w:end w:w="105" w:type="dxa"/>
            </w:tcMar>
            <w:vAlign w:val="center"/>
          </w:tcPr>
          <w:p>
            <w:pPr>
              <w:spacing w:after="0" w:line="240" w:lineRule="auto"/>
            </w:pPr>
            <w:r>
              <w:rPr>
                <w:sz w:val="17"/>
              </w:rPr>
              <w:t>V2 does not represent continuing authority validity after valid boundary creation across a later independent state transition.</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WOJCIECH governing provenance</w:t>
            </w:r>
          </w:p>
        </w:tc>
        <w:tc>
          <w:tcPr>
            <w:tcW w:type="dxa" w:w="3389"/>
            <w:tcMar>
              <w:top w:w="95" w:type="dxa"/>
              <w:start w:w="105" w:type="dxa"/>
              <w:bottom w:w="95" w:type="dxa"/>
              <w:end w:w="105" w:type="dxa"/>
            </w:tcMar>
            <w:vAlign w:val="center"/>
          </w:tcPr>
          <w:p>
            <w:pPr>
              <w:spacing w:after="0" w:line="240" w:lineRule="auto"/>
            </w:pPr>
            <w:r>
              <w:rPr>
                <w:sz w:val="17"/>
              </w:rPr>
              <w:t>MODEL / REPRESENTATION LIMITATION + RESEARCH QUESTION</w:t>
            </w:r>
          </w:p>
        </w:tc>
        <w:tc>
          <w:tcPr>
            <w:tcW w:type="dxa" w:w="3389"/>
            <w:tcMar>
              <w:top w:w="95" w:type="dxa"/>
              <w:start w:w="105" w:type="dxa"/>
              <w:bottom w:w="95" w:type="dxa"/>
              <w:end w:w="105" w:type="dxa"/>
            </w:tcMar>
            <w:vAlign w:val="center"/>
          </w:tcPr>
          <w:p>
            <w:pPr>
              <w:spacing w:after="0" w:line="240" w:lineRule="auto"/>
            </w:pPr>
            <w:r>
              <w:rPr>
                <w:sz w:val="17"/>
              </w:rPr>
              <w:t>V2 preserves lineage as evidence but does not independently consume lineage legitimacy as an execution predicate after boundary creation.</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WOJCIECH replay result</w:t>
            </w:r>
          </w:p>
        </w:tc>
        <w:tc>
          <w:tcPr>
            <w:tcW w:type="dxa" w:w="3389"/>
            <w:tcMar>
              <w:top w:w="95" w:type="dxa"/>
              <w:start w:w="105" w:type="dxa"/>
              <w:bottom w:w="95" w:type="dxa"/>
              <w:end w:w="105" w:type="dxa"/>
            </w:tcMar>
            <w:vAlign w:val="center"/>
          </w:tcPr>
          <w:p>
            <w:pPr>
              <w:spacing w:after="0" w:line="240" w:lineRule="auto"/>
            </w:pPr>
            <w:r>
              <w:rPr>
                <w:sz w:val="17"/>
              </w:rPr>
              <w:t>GOVERNED REPLAY SURVIVES; ARTIFACT EPOCH-BINDING REMAINS OUTSIDE CURRENT REPRESENTATION</w:t>
            </w:r>
          </w:p>
        </w:tc>
        <w:tc>
          <w:tcPr>
            <w:tcW w:type="dxa" w:w="3389"/>
            <w:tcMar>
              <w:top w:w="95" w:type="dxa"/>
              <w:start w:w="105" w:type="dxa"/>
              <w:bottom w:w="95" w:type="dxa"/>
              <w:end w:w="105" w:type="dxa"/>
            </w:tcMar>
            <w:vAlign w:val="center"/>
          </w:tcPr>
          <w:p>
            <w:pPr>
              <w:spacing w:after="0" w:line="240" w:lineRule="auto"/>
            </w:pPr>
            <w:r>
              <w:rPr>
                <w:sz w:val="17"/>
              </w:rPr>
              <w:t>Replay regenerates the chain; the boundary artifact itself is not independently run/epoch-bound at execution.</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WOJCIECH semantic decision-object identity</w:t>
            </w:r>
          </w:p>
        </w:tc>
        <w:tc>
          <w:tcPr>
            <w:tcW w:type="dxa" w:w="3389"/>
            <w:tcMar>
              <w:top w:w="95" w:type="dxa"/>
              <w:start w:w="105" w:type="dxa"/>
              <w:bottom w:w="95" w:type="dxa"/>
              <w:end w:w="105" w:type="dxa"/>
            </w:tcMar>
            <w:vAlign w:val="center"/>
          </w:tcPr>
          <w:p>
            <w:pPr>
              <w:spacing w:after="0" w:line="240" w:lineRule="auto"/>
            </w:pPr>
            <w:r>
              <w:rPr>
                <w:sz w:val="17"/>
              </w:rPr>
              <w:t>REPRESENTATION BOUNDARY</w:t>
            </w:r>
          </w:p>
        </w:tc>
        <w:tc>
          <w:tcPr>
            <w:tcW w:type="dxa" w:w="3389"/>
            <w:tcMar>
              <w:top w:w="95" w:type="dxa"/>
              <w:start w:w="105" w:type="dxa"/>
              <w:bottom w:w="95" w:type="dxa"/>
              <w:end w:w="105" w:type="dxa"/>
            </w:tcMar>
            <w:vAlign w:val="center"/>
          </w:tcPr>
          <w:p>
            <w:pPr>
              <w:spacing w:after="0" w:line="240" w:lineRule="auto"/>
            </w:pPr>
            <w:r>
              <w:rPr>
                <w:sz w:val="17"/>
              </w:rPr>
              <w:t>V2 has no separate execution-level semantic identity variable beyond action, scope and enforceable conditions.</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Wrong organizational boundary</w:t>
            </w:r>
          </w:p>
        </w:tc>
        <w:tc>
          <w:tcPr>
            <w:tcW w:type="dxa" w:w="3389"/>
            <w:tcMar>
              <w:top w:w="95" w:type="dxa"/>
              <w:start w:w="105" w:type="dxa"/>
              <w:bottom w:w="95" w:type="dxa"/>
              <w:end w:w="105" w:type="dxa"/>
            </w:tcMar>
            <w:vAlign w:val="center"/>
          </w:tcPr>
          <w:p>
            <w:pPr>
              <w:spacing w:after="0" w:line="240" w:lineRule="auto"/>
            </w:pPr>
            <w:r>
              <w:rPr>
                <w:sz w:val="17"/>
              </w:rPr>
              <w:t>KNOWN LIMIT</w:t>
            </w:r>
          </w:p>
        </w:tc>
        <w:tc>
          <w:tcPr>
            <w:tcW w:type="dxa" w:w="3389"/>
            <w:tcMar>
              <w:top w:w="95" w:type="dxa"/>
              <w:start w:w="105" w:type="dxa"/>
              <w:bottom w:w="95" w:type="dxa"/>
              <w:end w:w="105" w:type="dxa"/>
            </w:tcMar>
            <w:vAlign w:val="center"/>
          </w:tcPr>
          <w:p>
            <w:pPr>
              <w:spacing w:after="0" w:line="240" w:lineRule="auto"/>
            </w:pPr>
            <w:r>
              <w:rPr>
                <w:sz w:val="17"/>
              </w:rPr>
              <w:t>Correct enforcement cannot establish that the organization selected the correct authority boundary or governed quantity.</w:t>
            </w:r>
          </w:p>
        </w:tc>
      </w:tr>
      <w:tr>
        <w:trPr>
          <w:cantSplit/>
        </w:trPr>
        <w:tc>
          <w:tcPr>
            <w:tcW w:type="dxa" w:w="3389"/>
            <w:tcMar>
              <w:top w:w="95" w:type="dxa"/>
              <w:start w:w="105" w:type="dxa"/>
              <w:bottom w:w="95" w:type="dxa"/>
              <w:end w:w="105" w:type="dxa"/>
            </w:tcMar>
            <w:vAlign w:val="center"/>
          </w:tcPr>
          <w:p>
            <w:pPr>
              <w:spacing w:after="0" w:line="240" w:lineRule="auto"/>
            </w:pPr>
            <w:r>
              <w:rPr>
                <w:b/>
                <w:sz w:val="17"/>
              </w:rPr>
              <w:t>Claude final coverage</w:t>
            </w:r>
          </w:p>
        </w:tc>
        <w:tc>
          <w:tcPr>
            <w:tcW w:type="dxa" w:w="3389"/>
            <w:tcMar>
              <w:top w:w="95" w:type="dxa"/>
              <w:start w:w="105" w:type="dxa"/>
              <w:bottom w:w="95" w:type="dxa"/>
              <w:end w:w="105" w:type="dxa"/>
            </w:tcMar>
            <w:vAlign w:val="center"/>
          </w:tcPr>
          <w:p>
            <w:pPr>
              <w:spacing w:after="0" w:line="240" w:lineRule="auto"/>
            </w:pPr>
            <w:r>
              <w:rPr>
                <w:sz w:val="17"/>
              </w:rPr>
              <w:t>COVERAGE LIMITATION</w:t>
            </w:r>
          </w:p>
        </w:tc>
        <w:tc>
          <w:tcPr>
            <w:tcW w:type="dxa" w:w="3389"/>
            <w:tcMar>
              <w:top w:w="95" w:type="dxa"/>
              <w:start w:w="105" w:type="dxa"/>
              <w:bottom w:w="95" w:type="dxa"/>
              <w:end w:w="105" w:type="dxa"/>
            </w:tcMar>
            <w:vAlign w:val="center"/>
          </w:tcPr>
          <w:p>
            <w:pPr>
              <w:spacing w:after="0" w:line="240" w:lineRule="auto"/>
            </w:pPr>
            <w:r>
              <w:rPr>
                <w:sz w:val="17"/>
              </w:rPr>
              <w:t>Strong curated adversarial review, not literal exhaustive Cartesian validation. Replay, ordered transition, import/export and Procurement numeric-sweep gaps remain disclosed.</w:t>
            </w:r>
          </w:p>
        </w:tc>
      </w:tr>
    </w:tbl>
    <w:p>
      <w:pPr>
        <w:pStyle w:val="Heading1"/>
        <w:keepNext/>
      </w:pPr>
      <w:r>
        <w:t>7. Sharpened V2 Claim Boundary</w:t>
      </w:r>
    </w:p>
    <w:p>
      <w:r>
        <w:rPr>
          <w:b/>
        </w:rPr>
        <w:t xml:space="preserve">Supported formulation: </w:t>
      </w:r>
      <w:r>
        <w:t>V2 demonstrates that a represented organizational authority boundary can become a causal execution control within the harness. It does not demonstrate that the organization chose the correct boundary, that the lineage producing an already-created boundary remains legitimate, or that the authority basis remains current through a later state transition before execution.</w:t>
      </w:r>
    </w:p>
    <w:p>
      <w:r>
        <w:rPr>
          <w:b/>
        </w:rPr>
        <w:t xml:space="preserve">This is not a weakening of the historical result. </w:t>
      </w:r>
      <w:r>
        <w:t>It is a more precise boundary around what the combined evidence supports and what remains untested, unrepresented, or unresolved.</w:t>
      </w:r>
    </w:p>
    <w:p>
      <w:pPr>
        <w:pStyle w:val="Heading1"/>
        <w:keepNext/>
      </w:pPr>
      <w:r>
        <w:t>8. Required Next Steps Before Any V2 Change</w:t>
      </w:r>
    </w:p>
    <w:p>
      <w:pPr>
        <w:pStyle w:val="ListNumber"/>
      </w:pPr>
      <w:r>
        <w:t>Preserve this cross-review record without altering either reviewer's frozen source evidence.</w:t>
      </w:r>
    </w:p>
    <w:p>
      <w:pPr>
        <w:pStyle w:val="ListNumber"/>
      </w:pPr>
      <w:r>
        <w:t>Keep V2.0.0 and the public-review branch pinned to the frozen release while adjudication continues.</w:t>
      </w:r>
    </w:p>
    <w:p>
      <w:pPr>
        <w:pStyle w:val="ListNumber"/>
      </w:pPr>
      <w:r>
        <w:t>Reproduce and source-adjudicate Claude F-1 against frozen V2 before deciding remediation.</w:t>
      </w:r>
    </w:p>
    <w:p>
      <w:pPr>
        <w:pStyle w:val="ListNumber"/>
      </w:pPr>
      <w:r>
        <w:t>Adjudicate Claude F-2 against the governing Procurement semantics before labeling it an implementation defect or legitimate experimental result.</w:t>
      </w:r>
    </w:p>
    <w:p>
      <w:pPr>
        <w:pStyle w:val="ListNumber"/>
      </w:pPr>
      <w:r>
        <w:t>Keep the ACCESS order/history anomaly as not reproduced unless new evidence confirms it.</w:t>
      </w:r>
    </w:p>
    <w:p>
      <w:pPr>
        <w:pStyle w:val="ListNumber"/>
      </w:pPr>
      <w:r>
        <w:t>Treat temporal continuity, governing provenance, replay epoch-binding, and semantic decision-object identity as research/model boundaries unless evidence shows an implementation contradiction with V2's stated claims.</w:t>
      </w:r>
    </w:p>
    <w:p>
      <w:pPr>
        <w:pStyle w:val="ListNumber"/>
      </w:pPr>
      <w:r>
        <w:t>Do not introduce trust anchors, continuity rules, delegation chains, cryptographic binding, or other future architecture merely to make V2 survive these attacks.</w:t>
      </w:r>
    </w:p>
    <w:p>
      <w:pPr>
        <w:pStyle w:val="ListNumber"/>
      </w:pPr>
      <w:r>
        <w:t>Obtain Kelly's authorization before any material conceptual-model change.</w:t>
      </w:r>
    </w:p>
    <w:p>
      <w:pPr>
        <w:pStyle w:val="Heading1"/>
        <w:keepNext/>
      </w:pPr>
      <w:r>
        <w:t>9. Independence and Disclosure Rule</w:t>
      </w:r>
    </w:p>
    <w:p>
      <w:r>
        <w:t>Wojciech's frozen assessment predates exposure to Claude's findings. This cross-review comparison was created only after that independence boundary had been preserved. Any later discussion with Wojciech about Claude should be described as post-freeze comparison and must not be represented as part of his original independent assessment.</w:t>
      </w:r>
    </w:p>
    <w:p>
      <w:pPr>
        <w:pStyle w:val="Heading1"/>
        <w:keepNext/>
      </w:pPr>
      <w:r>
        <w:t>10. Canonical Cross-Review Takeaway</w:t>
      </w:r>
    </w:p>
    <w:p>
      <w:r>
        <w:rPr>
          <w:b/>
        </w:rPr>
        <w:t xml:space="preserve">Combined evidence supports the central V2 mechanism while revealing important limits around evidence integrity, authority currentness, governing provenance, semantic identity, and substantive correctness of the authority boundary. </w:t>
      </w:r>
      <w:r>
        <w:t>The appropriate response is not to patch every discovered boundary. The appropriate response is to preserve the evidence, adjudicate implementation defects separately from representation limits, and let future versions earn their scope by addressing research questions V2 cannot currently discriminate.</w:t>
      </w:r>
    </w:p>
    <w:p>
      <w:pPr>
        <w:pStyle w:val="Heading1"/>
        <w:keepNext/>
      </w:pPr>
      <w:r>
        <w:t>Source Basis</w:t>
      </w:r>
    </w:p>
    <w:p>
      <w:pPr>
        <w:pStyle w:val="ListBullet"/>
      </w:pPr>
      <w:r>
        <w:t>Claude V2 Final Adversarial Review Record, including the preserved description of the 109-case final public review, F-1, F-2, REVIEW REQUIRED observations, and disclosed coverage limitations.</w:t>
      </w:r>
    </w:p>
    <w:p>
      <w:pPr>
        <w:pStyle w:val="ListBullet"/>
      </w:pPr>
      <w:r>
        <w:t>Wojciech V2 Final Independent Adversarial Assessment, including the frozen classifications for causal boundary enforcement, temporal continuity, governing provenance, replay, policy/scenario drift, semantic decision-object identity, and the known wrong-boundary limit.</w:t>
      </w:r>
    </w:p>
    <w:p>
      <w:pPr>
        <w:pStyle w:val="ListBullet"/>
      </w:pPr>
      <w:r>
        <w:t>Operational AI Authority Test Harness governing instructions, especially claims discipline, test-harness-not-proof-machine principles, deterministic replay requirements, and the requirement to distinguish observed, demonstrated, supported, not demonstrated, and research-question claims.</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Operational AI Authority Test Harness - V2 Cross-Review Adjudication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F4E79"/>
      <w:sz w:val="31"/>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3756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