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WOJCIECH V2 FINAL INDEPENDENT</w:t>
        <w:br/>
        <w:t>ADVERSARIAL ASSESSMENT</w:t>
      </w:r>
    </w:p>
    <w:p>
      <w:pPr>
        <w:jc w:val="center"/>
      </w:pPr>
      <w:r>
        <w:rPr>
          <w:b/>
          <w:color w:val="365F91"/>
          <w:sz w:val="24"/>
        </w:rPr>
        <w:t>Operational AI Authority Test Harness - Version 2</w:t>
      </w:r>
    </w:p>
    <w:tbl>
      <w:tblPr>
        <w:tblW w:type="auto" w:w="0"/>
        <w:jc w:val="center"/>
        <w:tblLayout w:type="fixed"/>
        <w:tblLook w:firstColumn="1" w:firstRow="1" w:lastColumn="0" w:lastRow="0" w:noHBand="0" w:noVBand="1" w:val="04A0"/>
      </w:tblPr>
      <w:tblGrid>
        <w:gridCol w:w="2520"/>
        <w:gridCol w:w="6696"/>
      </w:tblGrid>
      <w:tr>
        <w:tc>
          <w:tcPr>
            <w:tcW w:type="dxa" w:w="4968"/>
            <w:tcMar>
              <w:top w:w="100" w:type="dxa"/>
              <w:start w:w="120" w:type="dxa"/>
              <w:bottom w:w="100" w:type="dxa"/>
              <w:end w:w="120" w:type="dxa"/>
            </w:tcMar>
            <w:vAlign w:val="center"/>
            <w:shd w:fill="D9EAF7"/>
          </w:tcPr>
          <w:p>
            <w:r>
              <w:rPr>
                <w:b/>
              </w:rPr>
              <w:t>Reviewer</w:t>
            </w:r>
          </w:p>
        </w:tc>
        <w:tc>
          <w:tcPr>
            <w:tcW w:type="dxa" w:w="4968"/>
            <w:tcMar>
              <w:top w:w="100" w:type="dxa"/>
              <w:start w:w="120" w:type="dxa"/>
              <w:bottom w:w="100" w:type="dxa"/>
              <w:end w:w="120" w:type="dxa"/>
            </w:tcMar>
            <w:vAlign w:val="center"/>
          </w:tcPr>
          <w:p>
            <w:r>
              <w:t>Wojciech Zygmunt Kaleta</w:t>
            </w:r>
          </w:p>
        </w:tc>
      </w:tr>
      <w:tr>
        <w:tc>
          <w:tcPr>
            <w:tcW w:type="dxa" w:w="4968"/>
            <w:tcMar>
              <w:top w:w="100" w:type="dxa"/>
              <w:start w:w="120" w:type="dxa"/>
              <w:bottom w:w="100" w:type="dxa"/>
              <w:end w:w="120" w:type="dxa"/>
            </w:tcMar>
            <w:vAlign w:val="center"/>
            <w:shd w:fill="D9EAF7"/>
          </w:tcPr>
          <w:p>
            <w:r>
              <w:rPr>
                <w:b/>
              </w:rPr>
              <w:t>Assessment status</w:t>
            </w:r>
          </w:p>
        </w:tc>
        <w:tc>
          <w:tcPr>
            <w:tcW w:type="dxa" w:w="4968"/>
            <w:tcMar>
              <w:top w:w="100" w:type="dxa"/>
              <w:start w:w="120" w:type="dxa"/>
              <w:bottom w:w="100" w:type="dxa"/>
              <w:end w:w="120" w:type="dxa"/>
            </w:tcMar>
            <w:vAlign w:val="center"/>
          </w:tcPr>
          <w:p>
            <w:r>
              <w:t>FROZEN - independent V2 assessment exhausted</w:t>
            </w:r>
          </w:p>
        </w:tc>
      </w:tr>
      <w:tr>
        <w:tc>
          <w:tcPr>
            <w:tcW w:type="dxa" w:w="4968"/>
            <w:tcMar>
              <w:top w:w="100" w:type="dxa"/>
              <w:start w:w="120" w:type="dxa"/>
              <w:bottom w:w="100" w:type="dxa"/>
              <w:end w:w="120" w:type="dxa"/>
            </w:tcMar>
            <w:vAlign w:val="center"/>
            <w:shd w:fill="D9EAF7"/>
          </w:tcPr>
          <w:p>
            <w:r>
              <w:rPr>
                <w:b/>
              </w:rPr>
              <w:t>Target under review</w:t>
            </w:r>
          </w:p>
        </w:tc>
        <w:tc>
          <w:tcPr>
            <w:tcW w:type="dxa" w:w="4968"/>
            <w:tcMar>
              <w:top w:w="100" w:type="dxa"/>
              <w:start w:w="120" w:type="dxa"/>
              <w:bottom w:w="100" w:type="dxa"/>
              <w:end w:w="120" w:type="dxa"/>
            </w:tcMar>
            <w:vAlign w:val="center"/>
          </w:tcPr>
          <w:p>
            <w:r>
              <w:t>Frozen Version 2 release; no retrospective repair</w:t>
            </w:r>
          </w:p>
        </w:tc>
      </w:tr>
      <w:tr>
        <w:tc>
          <w:tcPr>
            <w:tcW w:type="dxa" w:w="4968"/>
            <w:tcMar>
              <w:top w:w="100" w:type="dxa"/>
              <w:start w:w="120" w:type="dxa"/>
              <w:bottom w:w="100" w:type="dxa"/>
              <w:end w:w="120" w:type="dxa"/>
            </w:tcMar>
            <w:vAlign w:val="center"/>
            <w:shd w:fill="D9EAF7"/>
          </w:tcPr>
          <w:p>
            <w:r>
              <w:rPr>
                <w:b/>
              </w:rPr>
              <w:t>Independence safeguard</w:t>
            </w:r>
          </w:p>
        </w:tc>
        <w:tc>
          <w:tcPr>
            <w:tcW w:type="dxa" w:w="4968"/>
            <w:tcMar>
              <w:top w:w="100" w:type="dxa"/>
              <w:start w:w="120" w:type="dxa"/>
              <w:bottom w:w="100" w:type="dxa"/>
              <w:end w:w="120" w:type="dxa"/>
            </w:tcMar>
            <w:vAlign w:val="center"/>
          </w:tcPr>
          <w:p>
            <w:r>
              <w:t>Frozen before exposure to findings from other reviewers</w:t>
            </w:r>
          </w:p>
        </w:tc>
      </w:tr>
      <w:tr>
        <w:tc>
          <w:tcPr>
            <w:tcW w:type="dxa" w:w="4968"/>
            <w:tcMar>
              <w:top w:w="100" w:type="dxa"/>
              <w:start w:w="120" w:type="dxa"/>
              <w:bottom w:w="100" w:type="dxa"/>
              <w:end w:w="120" w:type="dxa"/>
            </w:tcMar>
            <w:vAlign w:val="center"/>
            <w:shd w:fill="D9EAF7"/>
          </w:tcPr>
          <w:p>
            <w:r>
              <w:rPr>
                <w:b/>
              </w:rPr>
              <w:t>Purpose</w:t>
            </w:r>
          </w:p>
        </w:tc>
        <w:tc>
          <w:tcPr>
            <w:tcW w:type="dxa" w:w="4968"/>
            <w:tcMar>
              <w:top w:w="100" w:type="dxa"/>
              <w:start w:w="120" w:type="dxa"/>
              <w:bottom w:w="100" w:type="dxa"/>
              <w:end w:w="120" w:type="dxa"/>
            </w:tcMar>
            <w:vAlign w:val="center"/>
          </w:tcPr>
          <w:p>
            <w:r>
              <w:t>Preserve what V2 demonstrates, what it cannot discriminate, and where the representation ends</w:t>
            </w:r>
          </w:p>
        </w:tc>
      </w:tr>
    </w:tbl>
    <w:p>
      <w:pPr>
        <w:spacing w:before="40" w:after="120"/>
        <w:pBdr>
          <w:bottom w:val="single" w:sz="8" w:space="1" w:color="B4C6E7"/>
        </w:pBdr>
      </w:pPr>
    </w:p>
    <w:p>
      <w:pPr>
        <w:pStyle w:val="Heading1"/>
      </w:pPr>
      <w:r>
        <w:t>1. Provenance and independence statement</w:t>
      </w:r>
    </w:p>
    <w:p>
      <w:r>
        <w:t>This document preserves the endpoint of Wojciech Zygmunt Kaleta's independent adversarial review of Version 2 of the Operational AI Authority Test Harness.</w:t>
      </w:r>
    </w:p>
    <w:p>
      <w:r>
        <w:t>The assessment was frozen before Wojciech was shown findings from other reviewers. That sequencing is intentional: later comparison may evaluate convergence or divergence, but it must not retroactively contaminate the independence of this assessment.</w:t>
      </w:r>
    </w:p>
    <w:p>
      <w:r>
        <w:t>The review remained explicitly constrained to V2. No V3 mechanism, trust-root architecture, continuity architecture, delegation-chain solution, or retrospective model change was introduced to help V2 survive an attack.</w:t>
      </w:r>
    </w:p>
    <w:p>
      <w:r>
        <w:t>The purpose of the review was not to make every attack pass. It was to determine what V2 actually demonstrates, what it does not demonstrate, and where the current representation stops carrying authority information forward.</w:t>
      </w:r>
    </w:p>
    <w:p>
      <w:pPr>
        <w:pStyle w:val="Heading1"/>
      </w:pPr>
      <w:r>
        <w:t>2. Final frozen assessment</w:t>
      </w:r>
    </w:p>
    <w:tbl>
      <w:tblPr>
        <w:tblW w:type="auto" w:w="0"/>
        <w:jc w:val="center"/>
        <w:tblLayout w:type="fixed"/>
        <w:tblLook w:firstColumn="1" w:firstRow="1" w:lastColumn="0" w:lastRow="0" w:noHBand="0" w:noVBand="1" w:val="04A0"/>
      </w:tblPr>
      <w:tblGrid>
        <w:gridCol w:w="2376"/>
        <w:gridCol w:w="2952"/>
        <w:gridCol w:w="4320"/>
      </w:tblGrid>
      <w:tr>
        <w:tc>
          <w:tcPr>
            <w:tcW w:type="dxa" w:w="3312"/>
            <w:shd w:fill="17365D"/>
            <w:tcMar>
              <w:top w:w="100" w:type="dxa"/>
              <w:start w:w="120" w:type="dxa"/>
              <w:bottom w:w="100" w:type="dxa"/>
              <w:end w:w="120" w:type="dxa"/>
            </w:tcMar>
            <w:vAlign w:val="center"/>
          </w:tcPr>
          <w:p>
            <w:r>
              <w:rPr>
                <w:b/>
                <w:color w:val="FFFFFF"/>
              </w:rPr>
              <w:t>Classification</w:t>
            </w:r>
          </w:p>
        </w:tc>
        <w:tc>
          <w:tcPr>
            <w:tcW w:type="dxa" w:w="3312"/>
            <w:shd w:fill="17365D"/>
            <w:tcMar>
              <w:top w:w="100" w:type="dxa"/>
              <w:start w:w="120" w:type="dxa"/>
              <w:bottom w:w="100" w:type="dxa"/>
              <w:end w:w="120" w:type="dxa"/>
            </w:tcMar>
            <w:vAlign w:val="center"/>
          </w:tcPr>
          <w:p>
            <w:r>
              <w:rPr>
                <w:b/>
                <w:color w:val="FFFFFF"/>
              </w:rPr>
              <w:t>Finding</w:t>
            </w:r>
          </w:p>
        </w:tc>
        <w:tc>
          <w:tcPr>
            <w:tcW w:type="dxa" w:w="3312"/>
            <w:shd w:fill="17365D"/>
            <w:tcMar>
              <w:top w:w="100" w:type="dxa"/>
              <w:start w:w="120" w:type="dxa"/>
              <w:bottom w:w="100" w:type="dxa"/>
              <w:end w:w="120" w:type="dxa"/>
            </w:tcMar>
            <w:vAlign w:val="center"/>
          </w:tcPr>
          <w:p>
            <w:r>
              <w:rPr>
                <w:b/>
                <w:color w:val="FFFFFF"/>
              </w:rPr>
              <w:t>Frozen assessment</w:t>
            </w:r>
          </w:p>
        </w:tc>
      </w:tr>
      <w:tr>
        <w:tc>
          <w:tcPr>
            <w:tcW w:type="dxa" w:w="2376"/>
            <w:tcMar>
              <w:top w:w="100" w:type="dxa"/>
              <w:start w:w="120" w:type="dxa"/>
              <w:bottom w:w="100" w:type="dxa"/>
              <w:end w:w="120" w:type="dxa"/>
            </w:tcMar>
            <w:vAlign w:val="center"/>
            <w:shd w:fill="E2F0D9"/>
          </w:tcPr>
          <w:p>
            <w:r>
              <w:t>SURVIVES</w:t>
            </w:r>
          </w:p>
        </w:tc>
        <w:tc>
          <w:tcPr>
            <w:tcW w:type="dxa" w:w="2952"/>
            <w:tcMar>
              <w:top w:w="100" w:type="dxa"/>
              <w:start w:w="120" w:type="dxa"/>
              <w:bottom w:w="100" w:type="dxa"/>
              <w:end w:w="120" w:type="dxa"/>
            </w:tcMar>
            <w:vAlign w:val="center"/>
          </w:tcPr>
          <w:p>
            <w:r>
              <w:t>Causal boundary enforcement</w:t>
            </w:r>
          </w:p>
        </w:tc>
        <w:tc>
          <w:tcPr>
            <w:tcW w:type="dxa" w:w="4320"/>
            <w:tcMar>
              <w:top w:w="100" w:type="dxa"/>
              <w:start w:w="120" w:type="dxa"/>
              <w:bottom w:w="100" w:type="dxa"/>
              <w:end w:w="120" w:type="dxa"/>
            </w:tcMar>
            <w:vAlign w:val="center"/>
          </w:tcPr>
          <w:p>
            <w:r>
              <w:t>The enforceable boundary is causally operative at execution. Changing whether a requested consequence falls within the operative boundary can change execution outcome.</w:t>
            </w:r>
          </w:p>
        </w:tc>
      </w:tr>
      <w:tr>
        <w:tc>
          <w:tcPr>
            <w:tcW w:type="dxa" w:w="2376"/>
            <w:tcMar>
              <w:top w:w="100" w:type="dxa"/>
              <w:start w:w="120" w:type="dxa"/>
              <w:bottom w:w="100" w:type="dxa"/>
              <w:end w:w="120" w:type="dxa"/>
            </w:tcMar>
            <w:vAlign w:val="center"/>
            <w:shd w:fill="E2F0D9"/>
          </w:tcPr>
          <w:p>
            <w:r>
              <w:t>SURVIVES</w:t>
            </w:r>
          </w:p>
        </w:tc>
        <w:tc>
          <w:tcPr>
            <w:tcW w:type="dxa" w:w="2952"/>
            <w:tcMar>
              <w:top w:w="100" w:type="dxa"/>
              <w:start w:w="120" w:type="dxa"/>
              <w:bottom w:w="100" w:type="dxa"/>
              <w:end w:w="120" w:type="dxa"/>
            </w:tcMar>
            <w:vAlign w:val="center"/>
          </w:tcPr>
          <w:p>
            <w:r>
              <w:t>Non-ACTIVE authority cannot create a new executable boundary</w:t>
            </w:r>
          </w:p>
        </w:tc>
        <w:tc>
          <w:tcPr>
            <w:tcW w:type="dxa" w:w="4320"/>
            <w:tcMar>
              <w:top w:w="100" w:type="dxa"/>
              <w:start w:w="120" w:type="dxa"/>
              <w:bottom w:w="100" w:type="dxa"/>
              <w:end w:w="120" w:type="dxa"/>
            </w:tcMar>
            <w:vAlign w:val="center"/>
          </w:tcPr>
          <w:p>
            <w:r>
              <w:t>Boundary creation correctly requires ACTIVE authority. Stale or otherwise non-ACTIVE authority cannot generate a new executable boundary.</w:t>
            </w:r>
          </w:p>
        </w:tc>
      </w:tr>
      <w:tr>
        <w:tc>
          <w:tcPr>
            <w:tcW w:type="dxa" w:w="2376"/>
            <w:tcMar>
              <w:top w:w="100" w:type="dxa"/>
              <w:start w:w="120" w:type="dxa"/>
              <w:bottom w:w="100" w:type="dxa"/>
              <w:end w:w="120" w:type="dxa"/>
            </w:tcMar>
            <w:vAlign w:val="center"/>
            <w:shd w:fill="E2F0D9"/>
          </w:tcPr>
          <w:p>
            <w:r>
              <w:t>SURVIVES</w:t>
            </w:r>
          </w:p>
        </w:tc>
        <w:tc>
          <w:tcPr>
            <w:tcW w:type="dxa" w:w="2952"/>
            <w:tcMar>
              <w:top w:w="100" w:type="dxa"/>
              <w:start w:w="120" w:type="dxa"/>
              <w:bottom w:w="100" w:type="dxa"/>
              <w:end w:w="120" w:type="dxa"/>
            </w:tcMar>
            <w:vAlign w:val="center"/>
          </w:tcPr>
          <w:p>
            <w:r>
              <w:t>Distinct BLOCK reasons are preserved</w:t>
            </w:r>
          </w:p>
        </w:tc>
        <w:tc>
          <w:tcPr>
            <w:tcW w:type="dxa" w:w="4320"/>
            <w:tcMar>
              <w:top w:w="100" w:type="dxa"/>
              <w:start w:w="120" w:type="dxa"/>
              <w:bottom w:w="100" w:type="dxa"/>
              <w:end w:w="120" w:type="dxa"/>
            </w:tcMar>
            <w:vAlign w:val="center"/>
          </w:tcPr>
          <w:p>
            <w:r>
              <w:t>Execution retains distinct reasons for BLOCK rather than collapsing materially different causes into one undifferentiated result.</w:t>
            </w:r>
          </w:p>
        </w:tc>
      </w:tr>
      <w:tr>
        <w:tc>
          <w:tcPr>
            <w:tcW w:type="dxa" w:w="2376"/>
            <w:tcMar>
              <w:top w:w="100" w:type="dxa"/>
              <w:start w:w="120" w:type="dxa"/>
              <w:bottom w:w="100" w:type="dxa"/>
              <w:end w:w="120" w:type="dxa"/>
            </w:tcMar>
            <w:vAlign w:val="center"/>
            <w:shd w:fill="FFF2CC"/>
          </w:tcPr>
          <w:p>
            <w:r>
              <w:t>CANNOT DISCRIMINATE</w:t>
            </w:r>
          </w:p>
        </w:tc>
        <w:tc>
          <w:tcPr>
            <w:tcW w:type="dxa" w:w="2952"/>
            <w:tcMar>
              <w:top w:w="100" w:type="dxa"/>
              <w:start w:w="120" w:type="dxa"/>
              <w:bottom w:w="100" w:type="dxa"/>
              <w:end w:w="120" w:type="dxa"/>
            </w:tcMar>
            <w:vAlign w:val="center"/>
          </w:tcPr>
          <w:p>
            <w:r>
              <w:t>Continuing validity after boundary creation</w:t>
            </w:r>
          </w:p>
        </w:tc>
        <w:tc>
          <w:tcPr>
            <w:tcW w:type="dxa" w:w="4320"/>
            <w:tcMar>
              <w:top w:w="100" w:type="dxa"/>
              <w:start w:w="120" w:type="dxa"/>
              <w:bottom w:w="100" w:type="dxa"/>
              <w:end w:w="120" w:type="dxa"/>
            </w:tcMar>
            <w:vAlign w:val="center"/>
          </w:tcPr>
          <w:p>
            <w:r>
              <w:t>V2 does not represent whether authority that was valid when a boundary was created remains legitimate/current after a later state change and before later execution.</w:t>
            </w:r>
          </w:p>
        </w:tc>
      </w:tr>
      <w:tr>
        <w:tc>
          <w:tcPr>
            <w:tcW w:type="dxa" w:w="2376"/>
            <w:tcMar>
              <w:top w:w="100" w:type="dxa"/>
              <w:start w:w="120" w:type="dxa"/>
              <w:bottom w:w="100" w:type="dxa"/>
              <w:end w:w="120" w:type="dxa"/>
            </w:tcMar>
            <w:vAlign w:val="center"/>
            <w:shd w:fill="FFF2CC"/>
          </w:tcPr>
          <w:p>
            <w:r>
              <w:t>CANNOT DISCRIMINATE</w:t>
            </w:r>
          </w:p>
        </w:tc>
        <w:tc>
          <w:tcPr>
            <w:tcW w:type="dxa" w:w="2952"/>
            <w:tcMar>
              <w:top w:w="100" w:type="dxa"/>
              <w:start w:w="120" w:type="dxa"/>
              <w:bottom w:w="100" w:type="dxa"/>
              <w:end w:w="120" w:type="dxa"/>
            </w:tcMar>
            <w:vAlign w:val="center"/>
          </w:tcPr>
          <w:p>
            <w:r>
              <w:t>Recorded authority provenance becoming governing after boundary creation</w:t>
            </w:r>
          </w:p>
        </w:tc>
        <w:tc>
          <w:tcPr>
            <w:tcW w:type="dxa" w:w="4320"/>
            <w:tcMar>
              <w:top w:w="100" w:type="dxa"/>
              <w:start w:w="120" w:type="dxa"/>
              <w:bottom w:w="100" w:type="dxa"/>
              <w:end w:w="120" w:type="dxa"/>
            </w:tcMar>
            <w:vAlign w:val="center"/>
          </w:tcPr>
          <w:p>
            <w:r>
              <w:t>V2 preserves provenance, but the lineage fields recorded with the boundary are not independently consumed as execution predicates after boundary creation.</w:t>
            </w:r>
          </w:p>
        </w:tc>
      </w:tr>
      <w:tr>
        <w:tc>
          <w:tcPr>
            <w:tcW w:type="dxa" w:w="2376"/>
            <w:tcMar>
              <w:top w:w="100" w:type="dxa"/>
              <w:start w:w="120" w:type="dxa"/>
              <w:bottom w:w="100" w:type="dxa"/>
              <w:end w:w="120" w:type="dxa"/>
            </w:tcMar>
            <w:vAlign w:val="center"/>
            <w:shd w:fill="EDEDED"/>
          </w:tcPr>
          <w:p>
            <w:r>
              <w:t>REPLAY</w:t>
            </w:r>
          </w:p>
        </w:tc>
        <w:tc>
          <w:tcPr>
            <w:tcW w:type="dxa" w:w="2952"/>
            <w:tcMar>
              <w:top w:w="100" w:type="dxa"/>
              <w:start w:w="120" w:type="dxa"/>
              <w:bottom w:w="100" w:type="dxa"/>
              <w:end w:w="120" w:type="dxa"/>
            </w:tcMar>
            <w:vAlign w:val="center"/>
          </w:tcPr>
          <w:p>
            <w:r>
              <w:t>Governed replay regenerates the chain</w:t>
            </w:r>
          </w:p>
        </w:tc>
        <w:tc>
          <w:tcPr>
            <w:tcW w:type="dxa" w:w="4320"/>
            <w:tcMar>
              <w:top w:w="100" w:type="dxa"/>
              <w:start w:w="120" w:type="dxa"/>
              <w:bottom w:w="100" w:type="dxa"/>
              <w:end w:w="120" w:type="dxa"/>
            </w:tcMar>
            <w:vAlign w:val="center"/>
          </w:tcPr>
          <w:p>
            <w:r>
              <w:t>The official ReplayEngine reconstructs inputs and reruns the governed authority/boundary chain, so deterministic replay does not itself bypass authority generation. The boundary representation, however, is not independently bound to its originating run or authority epoch.</w:t>
            </w:r>
          </w:p>
        </w:tc>
      </w:tr>
      <w:tr>
        <w:tc>
          <w:tcPr>
            <w:tcW w:type="dxa" w:w="2376"/>
            <w:tcMar>
              <w:top w:w="100" w:type="dxa"/>
              <w:start w:w="120" w:type="dxa"/>
              <w:bottom w:w="100" w:type="dxa"/>
              <w:end w:w="120" w:type="dxa"/>
            </w:tcMar>
            <w:vAlign w:val="center"/>
            <w:shd w:fill="EDEDED"/>
          </w:tcPr>
          <w:p>
            <w:r>
              <w:t>NOT INDEPENDENT</w:t>
            </w:r>
          </w:p>
        </w:tc>
        <w:tc>
          <w:tcPr>
            <w:tcW w:type="dxa" w:w="2952"/>
            <w:tcMar>
              <w:top w:w="100" w:type="dxa"/>
              <w:start w:w="120" w:type="dxa"/>
              <w:bottom w:w="100" w:type="dxa"/>
              <w:end w:w="120" w:type="dxa"/>
            </w:tcMar>
            <w:vAlign w:val="center"/>
          </w:tcPr>
          <w:p>
            <w:r>
              <w:t>Policy/scenario drift</w:t>
            </w:r>
          </w:p>
        </w:tc>
        <w:tc>
          <w:tcPr>
            <w:tcW w:type="dxa" w:w="4320"/>
            <w:tcMar>
              <w:top w:w="100" w:type="dxa"/>
              <w:start w:w="120" w:type="dxa"/>
              <w:bottom w:w="100" w:type="dxa"/>
              <w:end w:w="120" w:type="dxa"/>
            </w:tcMar>
            <w:vAlign w:val="center"/>
          </w:tcPr>
          <w:p>
            <w:r>
              <w:t>Policy/scenario drift is subsumed by the governing-provenance finding because scenarioVersion and policyVersion are recorded but are not independently consumed at execution.</w:t>
            </w:r>
          </w:p>
        </w:tc>
      </w:tr>
      <w:tr>
        <w:tc>
          <w:tcPr>
            <w:tcW w:type="dxa" w:w="2376"/>
            <w:tcMar>
              <w:top w:w="100" w:type="dxa"/>
              <w:start w:w="120" w:type="dxa"/>
              <w:bottom w:w="100" w:type="dxa"/>
              <w:end w:w="120" w:type="dxa"/>
            </w:tcMar>
            <w:vAlign w:val="center"/>
            <w:shd w:fill="FFF2CC"/>
          </w:tcPr>
          <w:p>
            <w:r>
              <w:t>REPRESENTATION BOUNDARY</w:t>
            </w:r>
          </w:p>
        </w:tc>
        <w:tc>
          <w:tcPr>
            <w:tcW w:type="dxa" w:w="2952"/>
            <w:tcMar>
              <w:top w:w="100" w:type="dxa"/>
              <w:start w:w="120" w:type="dxa"/>
              <w:bottom w:w="100" w:type="dxa"/>
              <w:end w:w="120" w:type="dxa"/>
            </w:tcMar>
            <w:vAlign w:val="center"/>
          </w:tcPr>
          <w:p>
            <w:r>
              <w:t>Semantic decision-object identity</w:t>
            </w:r>
          </w:p>
        </w:tc>
        <w:tc>
          <w:tcPr>
            <w:tcW w:type="dxa" w:w="4320"/>
            <w:tcMar>
              <w:top w:w="100" w:type="dxa"/>
              <w:start w:w="120" w:type="dxa"/>
              <w:bottom w:w="100" w:type="dxa"/>
              <w:end w:w="120" w:type="dxa"/>
            </w:tcMar>
            <w:vAlign w:val="center"/>
          </w:tcPr>
          <w:p>
            <w:r>
              <w:t>V2 represents the authorized object operationally through action type, scope, and enforceable conditions. It cannot separately discriminate same executable shape from a materially different semantic authorized decision object without adding a distinction V2 does not currently represent.</w:t>
            </w:r>
          </w:p>
        </w:tc>
      </w:tr>
      <w:tr>
        <w:tc>
          <w:tcPr>
            <w:tcW w:type="dxa" w:w="2376"/>
            <w:tcMar>
              <w:top w:w="100" w:type="dxa"/>
              <w:start w:w="120" w:type="dxa"/>
              <w:bottom w:w="100" w:type="dxa"/>
              <w:end w:w="120" w:type="dxa"/>
            </w:tcMar>
            <w:vAlign w:val="center"/>
            <w:shd w:fill="FCE4D6"/>
          </w:tcPr>
          <w:p>
            <w:r>
              <w:t>KNOWN LIMIT</w:t>
            </w:r>
          </w:p>
        </w:tc>
        <w:tc>
          <w:tcPr>
            <w:tcW w:type="dxa" w:w="2952"/>
            <w:tcMar>
              <w:top w:w="100" w:type="dxa"/>
              <w:start w:w="120" w:type="dxa"/>
              <w:bottom w:w="100" w:type="dxa"/>
              <w:end w:w="120" w:type="dxa"/>
            </w:tcMar>
            <w:vAlign w:val="center"/>
          </w:tcPr>
          <w:p>
            <w:r>
              <w:t>Correct enforcement does not prove correct organizational authority</w:t>
            </w:r>
          </w:p>
        </w:tc>
        <w:tc>
          <w:tcPr>
            <w:tcW w:type="dxa" w:w="4320"/>
            <w:tcMar>
              <w:top w:w="100" w:type="dxa"/>
              <w:start w:w="120" w:type="dxa"/>
              <w:bottom w:w="100" w:type="dxa"/>
              <w:end w:w="120" w:type="dxa"/>
            </w:tcMar>
            <w:vAlign w:val="center"/>
          </w:tcPr>
          <w:p>
            <w:r>
              <w:t>V2 can faithfully enforce an authority boundary that the organization specified incorrectly. Causal enforcement and substantive correctness of the organizational boundary remain separate questions.</w:t>
            </w:r>
          </w:p>
        </w:tc>
      </w:tr>
    </w:tbl>
    <w:p>
      <w:pPr>
        <w:pStyle w:val="Heading1"/>
      </w:pPr>
      <w:r>
        <w:t>3. Detailed findings</w:t>
      </w:r>
    </w:p>
    <w:p>
      <w:pPr>
        <w:pStyle w:val="Heading2"/>
      </w:pPr>
      <w:r>
        <w:t>3.1 Causal boundary enforcement survives</w:t>
      </w:r>
    </w:p>
    <w:p>
      <w:r>
        <w:t>V2 does not merely carry an authority boundary as descriptive metadata. The execution layer consumes operative boundary content and can change ALLOW/BLOCK behavior based on whether the requested consequence falls inside or outside the enforceable boundary.</w:t>
      </w:r>
    </w:p>
    <w:p>
      <w:r>
        <w:t>This supports the claim that the boundary is causally operative at execution.</w:t>
      </w:r>
    </w:p>
    <w:p>
      <w:pPr>
        <w:pStyle w:val="Heading2"/>
      </w:pPr>
      <w:r>
        <w:t>3.2 Non-ACTIVE authority cannot create a new executable boundary</w:t>
      </w:r>
    </w:p>
    <w:p>
      <w:r>
        <w:t>The boundary engine correctly rejects non-ACTIVE authority as a source for a new executable boundary.</w:t>
      </w:r>
    </w:p>
    <w:p>
      <w:r>
        <w:t>This means the straightforward stale-authority-at-creation attack does not break V2.</w:t>
      </w:r>
    </w:p>
    <w:p>
      <w:pPr>
        <w:pStyle w:val="Heading2"/>
      </w:pPr>
      <w:r>
        <w:t>3.3 Distinct execution-block causes survive</w:t>
      </w:r>
    </w:p>
    <w:p>
      <w:r>
        <w:t>V2 retains distinct reasons for execution failure, including technical failure, missing or non-enforceable boundary, scope failure, and condition failure.</w:t>
      </w:r>
    </w:p>
    <w:p>
      <w:r>
        <w:t>Aggregate BLOCK therefore does not erase the mechanism inside the current representation.</w:t>
      </w:r>
    </w:p>
    <w:p>
      <w:pPr>
        <w:pStyle w:val="Heading2"/>
      </w:pPr>
      <w:r>
        <w:t>3.4 Temporal continuity cannot be discriminated after boundary creation</w:t>
      </w:r>
    </w:p>
    <w:p>
      <w:r>
        <w:t>The unresolved temporal question is narrower than whether stale authority can create a new boundary. V2 answers that creation question.</w:t>
      </w:r>
    </w:p>
    <w:p>
      <w:r>
        <w:t>The unresolved case is a trajectory in which authority is ACTIVE at t0, a valid boundary is created, the authority basis changes or becomes stale at t1, and the previously created boundary is presented for execution at t2.</w:t>
      </w:r>
    </w:p>
    <w:p>
      <w:r>
        <w:t>V2 does not model an independent state transition between boundary creation and execution in which source authority can change while the old boundary persists. The representation therefore cannot discriminate continuing validity of authority after boundary creation.</w:t>
      </w:r>
    </w:p>
    <w:p>
      <w:pPr>
        <w:pStyle w:val="Heading2"/>
      </w:pPr>
      <w:r>
        <w:t>3.5 Recorded provenance is evidential, not governing, after boundary creation</w:t>
      </w:r>
    </w:p>
    <w:p>
      <w:r>
        <w:t>V2 preserves authority context well. The boundary records sourceAuthorityId, generatedFromDecisionId, scenarioVersion, and policyVersion, and the run record retains authority history and relevant event sequence.</w:t>
      </w:r>
    </w:p>
    <w:p>
      <w:r>
        <w:t>However, those fields are not independently consumed by the execution engine as execution predicates. At execution, the engine evaluates enforceable status, action type, scope, enforceable conditions, technical capability, and technical validity.</w:t>
      </w:r>
    </w:p>
    <w:p>
      <w:r>
        <w:t>Therefore two boundaries with identical operative content but materially different lineage cannot be distinguished at execution if lineage legitimacy is the only difference.</w:t>
      </w:r>
    </w:p>
    <w:p>
      <w:r>
        <w:t>This is best expressed as a distinction between recorded lineage and governing lineage: provenance is auditable, but provenance does not become governing merely because it is recorded.</w:t>
      </w:r>
    </w:p>
    <w:p>
      <w:r>
        <w:t>Important qualification: Wojciech did not conclude that normal governed V2 runs routinely create illegitimate lineage. He explicitly noted that the governed pipeline performs legitimacy work upstream and may prevent such a boundary from arising through the normal path. The execution-layer discrimination limit therefore should not be read as evidence that ordinary governed V2 runs are defective.</w:t>
      </w:r>
    </w:p>
    <w:p>
      <w:pPr>
        <w:pStyle w:val="Heading2"/>
      </w:pPr>
      <w:r>
        <w:t>3.6 Replay is governed, but the artifact is not independently epoch-bound</w:t>
      </w:r>
    </w:p>
    <w:p>
      <w:r>
        <w:t>The official ReplayEngine does not simply reuse a previously issued boundary. It reconstructs the inputs and reruns the governed chain, so deterministic replay itself does not bypass authority generation.</w:t>
      </w:r>
    </w:p>
    <w:p>
      <w:r>
        <w:t>The boundary representation itself, however, is not independently bound to the originating run or authority epoch in a way that execution later revalidates.</w:t>
      </w:r>
    </w:p>
    <w:p>
      <w:r>
        <w:t>This is another manifestation of the continuity/provenance boundary rather than a wholly separate V2 failure.</w:t>
      </w:r>
    </w:p>
    <w:p>
      <w:pPr>
        <w:pStyle w:val="Heading2"/>
      </w:pPr>
      <w:r>
        <w:t>3.7 Policy/scenario drift is not an independent finding</w:t>
      </w:r>
    </w:p>
    <w:p>
      <w:r>
        <w:t>policyVersion and scenarioVersion are recorded with the boundary, but execution does not consume those fields as predicates.</w:t>
      </w:r>
    </w:p>
    <w:p>
      <w:r>
        <w:t>Accordingly, drift in those values without reconstruction of the boundary collapses into the governing-provenance finding and should not be counted as a separate independent defect.</w:t>
      </w:r>
    </w:p>
    <w:p>
      <w:pPr>
        <w:pStyle w:val="Heading2"/>
      </w:pPr>
      <w:r>
        <w:t>3.8 Semantic decision-object identity is a representation boundary</w:t>
      </w:r>
    </w:p>
    <w:p>
      <w:r>
        <w:t>V2 operationally represents the authorized object through action type, scope, and enforceable conditions.</w:t>
      </w:r>
    </w:p>
    <w:p>
      <w:r>
        <w:t>There is no separate execution-level variable for semantic decision-object identity.</w:t>
      </w:r>
    </w:p>
    <w:p>
      <w:r>
        <w:t>As a result, V2 cannot independently discriminate same executable shape from same authorized decision object when the executable fields are identical but the underlying governed consequences are semantically different.</w:t>
      </w:r>
    </w:p>
    <w:p>
      <w:r>
        <w:t>Wojciech classifies this as a representation boundary, not a failure.</w:t>
      </w:r>
    </w:p>
    <w:p>
      <w:pPr>
        <w:pStyle w:val="Heading2"/>
      </w:pPr>
      <w:r>
        <w:t>3.9 Correct enforcement does not establish correct organizational authority</w:t>
      </w:r>
    </w:p>
    <w:p>
      <w:r>
        <w:t>Even when V2 enforces the boundary correctly, that does not establish that the organization defined the correct authority boundary in the first place.</w:t>
      </w:r>
    </w:p>
    <w:p>
      <w:r>
        <w:t>This remains a known limit and is conceptually separate from causal enforcement.</w:t>
      </w:r>
    </w:p>
    <w:p>
      <w:pPr>
        <w:pStyle w:val="Heading1"/>
      </w:pPr>
      <w:r>
        <w:t>4. Relationship among the principal boundaries</w:t>
      </w:r>
    </w:p>
    <w:tbl>
      <w:tblPr>
        <w:tblW w:type="auto" w:w="0"/>
        <w:jc w:val="center"/>
        <w:tblLayout w:type="fixed"/>
        <w:tblLook w:firstColumn="1" w:firstRow="1" w:lastColumn="0" w:lastRow="0" w:noHBand="0" w:noVBand="1" w:val="04A0"/>
      </w:tblPr>
      <w:tblGrid>
        <w:gridCol w:w="2448"/>
        <w:gridCol w:w="3168"/>
        <w:gridCol w:w="4032"/>
      </w:tblGrid>
      <w:tr>
        <w:tc>
          <w:tcPr>
            <w:tcW w:type="dxa" w:w="3312"/>
            <w:shd w:fill="365F91"/>
            <w:tcMar>
              <w:top w:w="100" w:type="dxa"/>
              <w:start w:w="120" w:type="dxa"/>
              <w:bottom w:w="100" w:type="dxa"/>
              <w:end w:w="120" w:type="dxa"/>
            </w:tcMar>
          </w:tcPr>
          <w:p>
            <w:r>
              <w:rPr>
                <w:b/>
                <w:color w:val="FFFFFF"/>
              </w:rPr>
              <w:t>Question</w:t>
            </w:r>
          </w:p>
        </w:tc>
        <w:tc>
          <w:tcPr>
            <w:tcW w:type="dxa" w:w="3312"/>
            <w:shd w:fill="365F91"/>
            <w:tcMar>
              <w:top w:w="100" w:type="dxa"/>
              <w:start w:w="120" w:type="dxa"/>
              <w:bottom w:w="100" w:type="dxa"/>
              <w:end w:w="120" w:type="dxa"/>
            </w:tcMar>
          </w:tcPr>
          <w:p>
            <w:r>
              <w:rPr>
                <w:b/>
                <w:color w:val="FFFFFF"/>
              </w:rPr>
              <w:t>What changes?</w:t>
            </w:r>
          </w:p>
        </w:tc>
        <w:tc>
          <w:tcPr>
            <w:tcW w:type="dxa" w:w="3312"/>
            <w:shd w:fill="365F91"/>
            <w:tcMar>
              <w:top w:w="100" w:type="dxa"/>
              <w:start w:w="120" w:type="dxa"/>
              <w:bottom w:w="100" w:type="dxa"/>
              <w:end w:w="120" w:type="dxa"/>
            </w:tcMar>
          </w:tcPr>
          <w:p>
            <w:r>
              <w:rPr>
                <w:b/>
                <w:color w:val="FFFFFF"/>
              </w:rPr>
              <w:t>What V2 can currently establish</w:t>
            </w:r>
          </w:p>
        </w:tc>
      </w:tr>
      <w:tr>
        <w:tc>
          <w:tcPr>
            <w:tcW w:type="dxa" w:w="2448"/>
            <w:tcMar>
              <w:top w:w="100" w:type="dxa"/>
              <w:start w:w="120" w:type="dxa"/>
              <w:bottom w:w="100" w:type="dxa"/>
              <w:end w:w="120" w:type="dxa"/>
            </w:tcMar>
          </w:tcPr>
          <w:p>
            <w:r>
              <w:t>Causal boundary enforcement</w:t>
            </w:r>
          </w:p>
        </w:tc>
        <w:tc>
          <w:tcPr>
            <w:tcW w:type="dxa" w:w="3168"/>
            <w:tcMar>
              <w:top w:w="100" w:type="dxa"/>
              <w:start w:w="120" w:type="dxa"/>
              <w:bottom w:w="100" w:type="dxa"/>
              <w:end w:w="120" w:type="dxa"/>
            </w:tcMar>
          </w:tcPr>
          <w:p>
            <w:r>
              <w:t>Operative boundary content</w:t>
            </w:r>
          </w:p>
        </w:tc>
        <w:tc>
          <w:tcPr>
            <w:tcW w:type="dxa" w:w="4032"/>
            <w:tcMar>
              <w:top w:w="100" w:type="dxa"/>
              <w:start w:w="120" w:type="dxa"/>
              <w:bottom w:w="100" w:type="dxa"/>
              <w:end w:w="120" w:type="dxa"/>
            </w:tcMar>
          </w:tcPr>
          <w:p>
            <w:r>
              <w:t>V2 can make the boundary consequential at execution.</w:t>
            </w:r>
          </w:p>
        </w:tc>
      </w:tr>
      <w:tr>
        <w:tc>
          <w:tcPr>
            <w:tcW w:type="dxa" w:w="2448"/>
            <w:tcMar>
              <w:top w:w="100" w:type="dxa"/>
              <w:start w:w="120" w:type="dxa"/>
              <w:bottom w:w="100" w:type="dxa"/>
              <w:end w:w="120" w:type="dxa"/>
            </w:tcMar>
          </w:tcPr>
          <w:p>
            <w:r>
              <w:t>Temporal continuity</w:t>
            </w:r>
          </w:p>
        </w:tc>
        <w:tc>
          <w:tcPr>
            <w:tcW w:type="dxa" w:w="3168"/>
            <w:tcMar>
              <w:top w:w="100" w:type="dxa"/>
              <w:start w:w="120" w:type="dxa"/>
              <w:bottom w:w="100" w:type="dxa"/>
              <w:end w:w="120" w:type="dxa"/>
            </w:tcMar>
          </w:tcPr>
          <w:p>
            <w:r>
              <w:t>Authority basis becomes stale after valid boundary creation</w:t>
            </w:r>
          </w:p>
        </w:tc>
        <w:tc>
          <w:tcPr>
            <w:tcW w:type="dxa" w:w="4032"/>
            <w:tcMar>
              <w:top w:w="100" w:type="dxa"/>
              <w:start w:w="120" w:type="dxa"/>
              <w:bottom w:w="100" w:type="dxa"/>
              <w:end w:w="120" w:type="dxa"/>
            </w:tcMar>
          </w:tcPr>
          <w:p>
            <w:r>
              <w:t>V2 cannot discriminate this later transition after boundary creation.</w:t>
            </w:r>
          </w:p>
        </w:tc>
      </w:tr>
      <w:tr>
        <w:tc>
          <w:tcPr>
            <w:tcW w:type="dxa" w:w="2448"/>
            <w:tcMar>
              <w:top w:w="100" w:type="dxa"/>
              <w:start w:w="120" w:type="dxa"/>
              <w:bottom w:w="100" w:type="dxa"/>
              <w:end w:w="120" w:type="dxa"/>
            </w:tcMar>
          </w:tcPr>
          <w:p>
            <w:r>
              <w:t>Governing provenance</w:t>
            </w:r>
          </w:p>
        </w:tc>
        <w:tc>
          <w:tcPr>
            <w:tcW w:type="dxa" w:w="3168"/>
            <w:tcMar>
              <w:top w:w="100" w:type="dxa"/>
              <w:start w:w="120" w:type="dxa"/>
              <w:bottom w:w="100" w:type="dxa"/>
              <w:end w:w="120" w:type="dxa"/>
            </w:tcMar>
          </w:tcPr>
          <w:p>
            <w:r>
              <w:t>Authority context/lineage changes while operative boundary remains the same</w:t>
            </w:r>
          </w:p>
        </w:tc>
        <w:tc>
          <w:tcPr>
            <w:tcW w:type="dxa" w:w="4032"/>
            <w:tcMar>
              <w:top w:w="100" w:type="dxa"/>
              <w:start w:w="120" w:type="dxa"/>
              <w:bottom w:w="100" w:type="dxa"/>
              <w:end w:w="120" w:type="dxa"/>
            </w:tcMar>
          </w:tcPr>
          <w:p>
            <w:r>
              <w:t>V2 preserves the context as evidence but does not make it independently governing at execution.</w:t>
            </w:r>
          </w:p>
        </w:tc>
      </w:tr>
      <w:tr>
        <w:tc>
          <w:tcPr>
            <w:tcW w:type="dxa" w:w="2448"/>
            <w:tcMar>
              <w:top w:w="100" w:type="dxa"/>
              <w:start w:w="120" w:type="dxa"/>
              <w:bottom w:w="100" w:type="dxa"/>
              <w:end w:w="120" w:type="dxa"/>
            </w:tcMar>
          </w:tcPr>
          <w:p>
            <w:r>
              <w:t>Semantic decision-object identity</w:t>
            </w:r>
          </w:p>
        </w:tc>
        <w:tc>
          <w:tcPr>
            <w:tcW w:type="dxa" w:w="3168"/>
            <w:tcMar>
              <w:top w:w="100" w:type="dxa"/>
              <w:start w:w="120" w:type="dxa"/>
              <w:bottom w:w="100" w:type="dxa"/>
              <w:end w:w="120" w:type="dxa"/>
            </w:tcMar>
          </w:tcPr>
          <w:p>
            <w:r>
              <w:t>Underlying governed decision meaning changes while executable shape remains the same</w:t>
            </w:r>
          </w:p>
        </w:tc>
        <w:tc>
          <w:tcPr>
            <w:tcW w:type="dxa" w:w="4032"/>
            <w:tcMar>
              <w:top w:w="100" w:type="dxa"/>
              <w:start w:w="120" w:type="dxa"/>
              <w:bottom w:w="100" w:type="dxa"/>
              <w:end w:w="120" w:type="dxa"/>
            </w:tcMar>
          </w:tcPr>
          <w:p>
            <w:r>
              <w:t>V2 lacks a separate execution-level semantic identity variable and therefore cannot independently discriminate the cases.</w:t>
            </w:r>
          </w:p>
        </w:tc>
      </w:tr>
    </w:tbl>
    <w:p>
      <w:pPr>
        <w:pStyle w:val="Heading1"/>
      </w:pPr>
      <w:r>
        <w:t>5. Attack-to-result reconciliation</w:t>
      </w:r>
    </w:p>
    <w:tbl>
      <w:tblPr>
        <w:tblW w:type="auto" w:w="0"/>
        <w:jc w:val="center"/>
        <w:tblLayout w:type="fixed"/>
        <w:tblLook w:firstColumn="1" w:firstRow="1" w:lastColumn="0" w:lastRow="0" w:noHBand="0" w:noVBand="1" w:val="04A0"/>
      </w:tblPr>
      <w:tblGrid>
        <w:gridCol w:w="3672"/>
        <w:gridCol w:w="2304"/>
        <w:gridCol w:w="3672"/>
      </w:tblGrid>
      <w:tr>
        <w:tc>
          <w:tcPr>
            <w:tcW w:type="dxa" w:w="3312"/>
            <w:shd w:fill="17365D"/>
            <w:tcMar>
              <w:top w:w="100" w:type="dxa"/>
              <w:start w:w="120" w:type="dxa"/>
              <w:bottom w:w="100" w:type="dxa"/>
              <w:end w:w="120" w:type="dxa"/>
            </w:tcMar>
          </w:tcPr>
          <w:p>
            <w:r>
              <w:rPr>
                <w:b/>
                <w:color w:val="FFFFFF"/>
              </w:rPr>
              <w:t>Attack / question</w:t>
            </w:r>
          </w:p>
        </w:tc>
        <w:tc>
          <w:tcPr>
            <w:tcW w:type="dxa" w:w="3312"/>
            <w:shd w:fill="17365D"/>
            <w:tcMar>
              <w:top w:w="100" w:type="dxa"/>
              <w:start w:w="120" w:type="dxa"/>
              <w:bottom w:w="100" w:type="dxa"/>
              <w:end w:w="120" w:type="dxa"/>
            </w:tcMar>
          </w:tcPr>
          <w:p>
            <w:r>
              <w:rPr>
                <w:b/>
                <w:color w:val="FFFFFF"/>
              </w:rPr>
              <w:t>Disposition</w:t>
            </w:r>
          </w:p>
        </w:tc>
        <w:tc>
          <w:tcPr>
            <w:tcW w:type="dxa" w:w="3312"/>
            <w:shd w:fill="17365D"/>
            <w:tcMar>
              <w:top w:w="100" w:type="dxa"/>
              <w:start w:w="120" w:type="dxa"/>
              <w:bottom w:w="100" w:type="dxa"/>
              <w:end w:w="120" w:type="dxa"/>
            </w:tcMar>
          </w:tcPr>
          <w:p>
            <w:r>
              <w:rPr>
                <w:b/>
                <w:color w:val="FFFFFF"/>
              </w:rPr>
              <w:t>Where it ended</w:t>
            </w:r>
          </w:p>
        </w:tc>
      </w:tr>
      <w:tr>
        <w:tc>
          <w:tcPr>
            <w:tcW w:type="dxa" w:w="3672"/>
            <w:tcMar>
              <w:top w:w="100" w:type="dxa"/>
              <w:start w:w="120" w:type="dxa"/>
              <w:bottom w:w="100" w:type="dxa"/>
              <w:end w:w="120" w:type="dxa"/>
            </w:tcMar>
            <w:vAlign w:val="center"/>
          </w:tcPr>
          <w:p>
            <w:r>
              <w:t>Authority valid when created, then relevant state changes before execution</w:t>
            </w:r>
          </w:p>
        </w:tc>
        <w:tc>
          <w:tcPr>
            <w:tcW w:type="dxa" w:w="2304"/>
            <w:tcMar>
              <w:top w:w="100" w:type="dxa"/>
              <w:start w:w="120" w:type="dxa"/>
              <w:bottom w:w="100" w:type="dxa"/>
              <w:end w:w="120" w:type="dxa"/>
            </w:tcMar>
            <w:vAlign w:val="center"/>
          </w:tcPr>
          <w:p>
            <w:r>
              <w:t>CANNOT DISCRIMINATE</w:t>
            </w:r>
          </w:p>
        </w:tc>
        <w:tc>
          <w:tcPr>
            <w:tcW w:type="dxa" w:w="3672"/>
            <w:tcMar>
              <w:top w:w="100" w:type="dxa"/>
              <w:start w:w="120" w:type="dxa"/>
              <w:bottom w:w="100" w:type="dxa"/>
              <w:end w:w="120" w:type="dxa"/>
            </w:tcMar>
            <w:vAlign w:val="center"/>
          </w:tcPr>
          <w:p>
            <w:r>
              <w:t>Refined into the temporal-continuity finding: V2 does not represent the t0 -&gt; t1 -&gt; t2 trajectory after boundary creation.</w:t>
            </w:r>
          </w:p>
        </w:tc>
      </w:tr>
      <w:tr>
        <w:tc>
          <w:tcPr>
            <w:tcW w:type="dxa" w:w="3672"/>
            <w:tcMar>
              <w:top w:w="100" w:type="dxa"/>
              <w:start w:w="120" w:type="dxa"/>
              <w:bottom w:w="100" w:type="dxa"/>
              <w:end w:w="120" w:type="dxa"/>
            </w:tcMar>
            <w:vAlign w:val="center"/>
          </w:tcPr>
          <w:p>
            <w:r>
              <w:t>Different material causes collapse into the same BLOCK</w:t>
            </w:r>
          </w:p>
        </w:tc>
        <w:tc>
          <w:tcPr>
            <w:tcW w:type="dxa" w:w="2304"/>
            <w:tcMar>
              <w:top w:w="100" w:type="dxa"/>
              <w:start w:w="120" w:type="dxa"/>
              <w:bottom w:w="100" w:type="dxa"/>
              <w:end w:w="120" w:type="dxa"/>
            </w:tcMar>
            <w:vAlign w:val="center"/>
          </w:tcPr>
          <w:p>
            <w:r>
              <w:t>SURVIVES</w:t>
            </w:r>
          </w:p>
        </w:tc>
        <w:tc>
          <w:tcPr>
            <w:tcW w:type="dxa" w:w="3672"/>
            <w:tcMar>
              <w:top w:w="100" w:type="dxa"/>
              <w:start w:w="120" w:type="dxa"/>
              <w:bottom w:w="100" w:type="dxa"/>
              <w:end w:w="120" w:type="dxa"/>
            </w:tcMar>
            <w:vAlign w:val="center"/>
          </w:tcPr>
          <w:p>
            <w:r>
              <w:t>Execution retains distinct BLOCK reasons for technical failure, non-enforceable/missing boundary, scope failure, and condition failure.</w:t>
            </w:r>
          </w:p>
        </w:tc>
      </w:tr>
      <w:tr>
        <w:tc>
          <w:tcPr>
            <w:tcW w:type="dxa" w:w="3672"/>
            <w:tcMar>
              <w:top w:w="100" w:type="dxa"/>
              <w:start w:w="120" w:type="dxa"/>
              <w:bottom w:w="100" w:type="dxa"/>
              <w:end w:w="120" w:type="dxa"/>
            </w:tcMar>
            <w:vAlign w:val="center"/>
          </w:tcPr>
          <w:p>
            <w:r>
              <w:t>Governance disposition remains unchanged but authority boundary should change</w:t>
            </w:r>
          </w:p>
        </w:tc>
        <w:tc>
          <w:tcPr>
            <w:tcW w:type="dxa" w:w="2304"/>
            <w:tcMar>
              <w:top w:w="100" w:type="dxa"/>
              <w:start w:w="120" w:type="dxa"/>
              <w:bottom w:w="100" w:type="dxa"/>
              <w:end w:w="120" w:type="dxa"/>
            </w:tcMar>
            <w:vAlign w:val="center"/>
          </w:tcPr>
          <w:p>
            <w:r>
              <w:t>BOUND INTO LATER FINDINGS</w:t>
            </w:r>
          </w:p>
        </w:tc>
        <w:tc>
          <w:tcPr>
            <w:tcW w:type="dxa" w:w="3672"/>
            <w:tcMar>
              <w:top w:w="100" w:type="dxa"/>
              <w:start w:w="120" w:type="dxa"/>
              <w:bottom w:w="100" w:type="dxa"/>
              <w:end w:w="120" w:type="dxa"/>
            </w:tcMar>
            <w:vAlign w:val="center"/>
          </w:tcPr>
          <w:p>
            <w:r>
              <w:t>This attack helped pressure-test whether authority state and boundary content are causally operative; it did not become a separate final defect.</w:t>
            </w:r>
          </w:p>
        </w:tc>
      </w:tr>
      <w:tr>
        <w:tc>
          <w:tcPr>
            <w:tcW w:type="dxa" w:w="3672"/>
            <w:tcMar>
              <w:top w:w="100" w:type="dxa"/>
              <w:start w:w="120" w:type="dxa"/>
              <w:bottom w:w="100" w:type="dxa"/>
              <w:end w:w="120" w:type="dxa"/>
            </w:tcMar>
            <w:vAlign w:val="center"/>
          </w:tcPr>
          <w:p>
            <w:r>
              <w:t>Boundary remains syntactically valid after the state that justified it expires</w:t>
            </w:r>
          </w:p>
        </w:tc>
        <w:tc>
          <w:tcPr>
            <w:tcW w:type="dxa" w:w="2304"/>
            <w:tcMar>
              <w:top w:w="100" w:type="dxa"/>
              <w:start w:w="120" w:type="dxa"/>
              <w:bottom w:w="100" w:type="dxa"/>
              <w:end w:w="120" w:type="dxa"/>
            </w:tcMar>
            <w:vAlign w:val="center"/>
          </w:tcPr>
          <w:p>
            <w:r>
              <w:t>CANNOT DISCRIMINATE</w:t>
            </w:r>
          </w:p>
        </w:tc>
        <w:tc>
          <w:tcPr>
            <w:tcW w:type="dxa" w:w="3672"/>
            <w:tcMar>
              <w:top w:w="100" w:type="dxa"/>
              <w:start w:w="120" w:type="dxa"/>
              <w:bottom w:w="100" w:type="dxa"/>
              <w:end w:w="120" w:type="dxa"/>
            </w:tcMar>
            <w:vAlign w:val="center"/>
          </w:tcPr>
          <w:p>
            <w:r>
              <w:t>Collapsed into the temporal-continuity/currentness boundary after boundary creation.</w:t>
            </w:r>
          </w:p>
        </w:tc>
      </w:tr>
      <w:tr>
        <w:tc>
          <w:tcPr>
            <w:tcW w:type="dxa" w:w="3672"/>
            <w:tcMar>
              <w:top w:w="100" w:type="dxa"/>
              <w:start w:w="120" w:type="dxa"/>
              <w:bottom w:w="100" w:type="dxa"/>
              <w:end w:w="120" w:type="dxa"/>
            </w:tcMar>
            <w:vAlign w:val="center"/>
          </w:tcPr>
          <w:p>
            <w:r>
              <w:t>Same final outcome but only one legitimate authority path</w:t>
            </w:r>
          </w:p>
        </w:tc>
        <w:tc>
          <w:tcPr>
            <w:tcW w:type="dxa" w:w="2304"/>
            <w:tcMar>
              <w:top w:w="100" w:type="dxa"/>
              <w:start w:w="120" w:type="dxa"/>
              <w:bottom w:w="100" w:type="dxa"/>
              <w:end w:w="120" w:type="dxa"/>
            </w:tcMar>
            <w:vAlign w:val="center"/>
          </w:tcPr>
          <w:p>
            <w:r>
              <w:t>CANNOT DISCRIMINATE AT EXECUTION</w:t>
            </w:r>
          </w:p>
        </w:tc>
        <w:tc>
          <w:tcPr>
            <w:tcW w:type="dxa" w:w="3672"/>
            <w:tcMar>
              <w:top w:w="100" w:type="dxa"/>
              <w:start w:w="120" w:type="dxa"/>
              <w:bottom w:w="100" w:type="dxa"/>
              <w:end w:w="120" w:type="dxa"/>
            </w:tcMar>
            <w:vAlign w:val="center"/>
          </w:tcPr>
          <w:p>
            <w:r>
              <w:t>Refined into recorded lineage versus governing lineage: provenance is preserved but lineage legitimacy is not an independent execution predicate.</w:t>
            </w:r>
          </w:p>
        </w:tc>
      </w:tr>
      <w:tr>
        <w:tc>
          <w:tcPr>
            <w:tcW w:type="dxa" w:w="3672"/>
            <w:tcMar>
              <w:top w:w="100" w:type="dxa"/>
              <w:start w:w="120" w:type="dxa"/>
              <w:bottom w:w="100" w:type="dxa"/>
              <w:end w:w="120" w:type="dxa"/>
            </w:tcMar>
            <w:vAlign w:val="center"/>
          </w:tcPr>
          <w:p>
            <w:r>
              <w:t>Replay / reuse of prior boundary artifact</w:t>
            </w:r>
          </w:p>
        </w:tc>
        <w:tc>
          <w:tcPr>
            <w:tcW w:type="dxa" w:w="2304"/>
            <w:tcMar>
              <w:top w:w="100" w:type="dxa"/>
              <w:start w:w="120" w:type="dxa"/>
              <w:bottom w:w="100" w:type="dxa"/>
              <w:end w:w="120" w:type="dxa"/>
            </w:tcMar>
            <w:vAlign w:val="center"/>
          </w:tcPr>
          <w:p>
            <w:r>
              <w:t>PARTIAL / NOT WHOLLY INDEPENDENT</w:t>
            </w:r>
          </w:p>
        </w:tc>
        <w:tc>
          <w:tcPr>
            <w:tcW w:type="dxa" w:w="3672"/>
            <w:tcMar>
              <w:top w:w="100" w:type="dxa"/>
              <w:start w:w="120" w:type="dxa"/>
              <w:bottom w:w="100" w:type="dxa"/>
              <w:end w:w="120" w:type="dxa"/>
            </w:tcMar>
            <w:vAlign w:val="center"/>
          </w:tcPr>
          <w:p>
            <w:r>
              <w:t>Official ReplayEngine regenerates the governed chain; the boundary artifact itself is not independently bound to its originating run or authority epoch.</w:t>
            </w:r>
          </w:p>
        </w:tc>
      </w:tr>
      <w:tr>
        <w:tc>
          <w:tcPr>
            <w:tcW w:type="dxa" w:w="3672"/>
            <w:tcMar>
              <w:top w:w="100" w:type="dxa"/>
              <w:start w:w="120" w:type="dxa"/>
              <w:bottom w:w="100" w:type="dxa"/>
              <w:end w:w="120" w:type="dxa"/>
            </w:tcMar>
            <w:vAlign w:val="center"/>
          </w:tcPr>
          <w:p>
            <w:r>
              <w:t>Policy/scenario drift without boundary reconstruction</w:t>
            </w:r>
          </w:p>
        </w:tc>
        <w:tc>
          <w:tcPr>
            <w:tcW w:type="dxa" w:w="2304"/>
            <w:tcMar>
              <w:top w:w="100" w:type="dxa"/>
              <w:start w:w="120" w:type="dxa"/>
              <w:bottom w:w="100" w:type="dxa"/>
              <w:end w:w="120" w:type="dxa"/>
            </w:tcMar>
            <w:vAlign w:val="center"/>
          </w:tcPr>
          <w:p>
            <w:r>
              <w:t>NOT INDEPENDENT</w:t>
            </w:r>
          </w:p>
        </w:tc>
        <w:tc>
          <w:tcPr>
            <w:tcW w:type="dxa" w:w="3672"/>
            <w:tcMar>
              <w:top w:w="100" w:type="dxa"/>
              <w:start w:w="120" w:type="dxa"/>
              <w:bottom w:w="100" w:type="dxa"/>
              <w:end w:w="120" w:type="dxa"/>
            </w:tcMar>
            <w:vAlign w:val="center"/>
          </w:tcPr>
          <w:p>
            <w:r>
              <w:t>Subsumed by governing provenance because scenarioVersion and policyVersion are recorded but not consumed as execution predicates.</w:t>
            </w:r>
          </w:p>
        </w:tc>
      </w:tr>
      <w:tr>
        <w:tc>
          <w:tcPr>
            <w:tcW w:type="dxa" w:w="3672"/>
            <w:tcMar>
              <w:top w:w="100" w:type="dxa"/>
              <w:start w:w="120" w:type="dxa"/>
              <w:bottom w:w="100" w:type="dxa"/>
              <w:end w:w="120" w:type="dxa"/>
            </w:tcMar>
            <w:vAlign w:val="center"/>
          </w:tcPr>
          <w:p>
            <w:r>
              <w:t>Same executable shape but different semantic authorized decision object</w:t>
            </w:r>
          </w:p>
        </w:tc>
        <w:tc>
          <w:tcPr>
            <w:tcW w:type="dxa" w:w="2304"/>
            <w:tcMar>
              <w:top w:w="100" w:type="dxa"/>
              <w:start w:w="120" w:type="dxa"/>
              <w:bottom w:w="100" w:type="dxa"/>
              <w:end w:w="120" w:type="dxa"/>
            </w:tcMar>
            <w:vAlign w:val="center"/>
          </w:tcPr>
          <w:p>
            <w:r>
              <w:t>REPRESENTATION BOUNDARY</w:t>
            </w:r>
          </w:p>
        </w:tc>
        <w:tc>
          <w:tcPr>
            <w:tcW w:type="dxa" w:w="3672"/>
            <w:tcMar>
              <w:top w:w="100" w:type="dxa"/>
              <w:start w:w="120" w:type="dxa"/>
              <w:bottom w:w="100" w:type="dxa"/>
              <w:end w:w="120" w:type="dxa"/>
            </w:tcMar>
            <w:vAlign w:val="center"/>
          </w:tcPr>
          <w:p>
            <w:r>
              <w:t>V2 has no separate execution-level semantic identity variable beyond action type, scope, and enforceable conditions.</w:t>
            </w:r>
          </w:p>
        </w:tc>
      </w:tr>
    </w:tbl>
    <w:p>
      <w:pPr>
        <w:pStyle w:val="Heading1"/>
      </w:pPr>
      <w:r>
        <w:t>6. Explicitly parked upstream questions - not frozen V2 findings</w:t>
      </w:r>
    </w:p>
    <w:p>
      <w:r>
        <w:t>The raw review exchange exposed additional upstream questions that were consciously parked so they would not be used to rescue V2. They are preserved here as research context, not as V2 findings or as an approved future architecture.</w:t>
      </w:r>
    </w:p>
    <w:p>
      <w:r>
        <w:t>Authority-to-authorize / actor standing: whether the actor creating renewed authority has standing to create that authority at all. Wojciech identified this as an upstream question and both parties agreed to keep it outside the V2 attack.</w:t>
      </w:r>
    </w:p>
    <w:p>
      <w:r>
        <w:t>Termination of authority validation: if authority legitimacy is recursively checked, where does the system legitimately stop asking who authorized the authorizer?</w:t>
      </w:r>
    </w:p>
    <w:p>
      <w:r>
        <w:t>Trust-anchor hypothesis: a configured organizational authority root was discussed as a possible way to terminate recursion, but it was explicitly parked and not established as the correct architecture.</w:t>
      </w:r>
    </w:p>
    <w:p>
      <w:r>
        <w:t>Authority continuity and termination: some downstream authority may survive changes in upstream officeholders or institutions, while other authority may terminate when the appointment or governing context ends. These continuity questions were recognized but deliberately kept outside V2.</w:t>
      </w:r>
    </w:p>
    <w:p>
      <w:r>
        <w:t>These parked questions explain why the review did not treat the lineage finding as a mandate to add trust roots, delegation chains, or continuity rules to V2.</w:t>
      </w:r>
    </w:p>
    <w:p>
      <w:pPr>
        <w:pStyle w:val="Heading1"/>
      </w:pPr>
      <w:r>
        <w:t>7. Review stopping condition</w:t>
      </w:r>
    </w:p>
    <w:p>
      <w:r>
        <w:t>After completing the replay, policy/scenario drift, and decision-object identity attacks, Wojciech stated that he did not see another meaningful attack that remained inside V2's own claims without either repeating findings already established or importing an upstream solution.</w:t>
      </w:r>
    </w:p>
    <w:p>
      <w:r>
        <w:t>He therefore declared the independent V2 assessment exhausted and ready to freeze.</w:t>
      </w:r>
    </w:p>
    <w:p>
      <w:r>
        <w:t>The frozen assessment is intentionally preserved before comparison with other reviewers. No V3 interpretation and no retrospective repair of V2 is included in this record.</w:t>
      </w:r>
    </w:p>
    <w:p>
      <w:pPr>
        <w:pStyle w:val="Heading1"/>
      </w:pPr>
      <w:r>
        <w:t>8. What this assessment does not authorize</w:t>
      </w:r>
    </w:p>
    <w:p>
      <w:pPr>
        <w:pStyle w:val="ListBullet"/>
      </w:pPr>
      <w:r>
        <w:t>It does not authorize changing the V2 conceptual model.</w:t>
      </w:r>
    </w:p>
    <w:p>
      <w:pPr>
        <w:pStyle w:val="ListBullet"/>
      </w:pPr>
      <w:r>
        <w:t>It does not authorize modifying V2 merely to make the discovered boundaries disappear.</w:t>
      </w:r>
    </w:p>
    <w:p>
      <w:pPr>
        <w:pStyle w:val="ListBullet"/>
      </w:pPr>
      <w:r>
        <w:t>It does not establish a trust-anchor, delegation-chain, continuity, or other future architecture.</w:t>
      </w:r>
    </w:p>
    <w:p>
      <w:pPr>
        <w:pStyle w:val="ListBullet"/>
      </w:pPr>
      <w:r>
        <w:t>It does not collapse temporal continuity and governing provenance into one finding.</w:t>
      </w:r>
    </w:p>
    <w:p>
      <w:pPr>
        <w:pStyle w:val="ListBullet"/>
      </w:pPr>
      <w:r>
        <w:t>It does not convert representation boundaries into implementation defects by assumption.</w:t>
      </w:r>
    </w:p>
    <w:p>
      <w:pPr>
        <w:pStyle w:val="ListBullet"/>
      </w:pPr>
      <w:r>
        <w:t>It does not establish that an organizational authority boundary is substantively correct merely because V2 enforces it correctly.</w:t>
      </w:r>
    </w:p>
    <w:p>
      <w:pPr>
        <w:pStyle w:val="Heading1"/>
      </w:pPr>
      <w:r>
        <w:t>9. Frozen conclusion</w:t>
      </w:r>
    </w:p>
    <w:p>
      <w:r>
        <w:t>Wojciech's independent V2 assessment is now frozen.</w:t>
      </w:r>
    </w:p>
    <w:p>
      <w:r>
        <w:t>The review supports a narrow but meaningful conclusion: V2 demonstrates causal enforcement of a current operative boundary, blocks new boundary creation from non-ACTIVE authority, and preserves distinct execution failure reasons. It also preserves authority provenance well enough for audit.</w:t>
      </w:r>
    </w:p>
    <w:p>
      <w:r>
        <w:t>The review also identifies where the current representation ends: after boundary creation, V2 does not independently make continuing authority validity or recorded provenance governing at execution, and it does not separately represent semantic decision-object identity beyond the executable shape encoded in action, scope, and conditions.</w:t>
      </w:r>
    </w:p>
    <w:p>
      <w:r>
        <w:t>Those are boundaries around the demonstrated claim, not reasons to rewrite the historical result.</w:t>
      </w:r>
    </w:p>
    <w:p>
      <w:r>
        <w:t>This document should be preserved as the final independent Wojciech V2 adversarial assessment before any cross-review comparison is performed.</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Operational AI Authority Test Harness - V2 Independent Review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