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F3563">
      <w:pPr>
        <w:pStyle w:val="2"/>
        <w:keepNext w:val="0"/>
        <w:keepLines w:val="0"/>
        <w:pageBreakBefore w:val="0"/>
        <w:widowControl/>
        <w:kinsoku/>
        <w:wordWrap/>
        <w:overflowPunct/>
        <w:topLinePunct w:val="0"/>
        <w:autoSpaceDE/>
        <w:autoSpaceDN/>
        <w:bidi w:val="0"/>
        <w:adjustRightInd/>
        <w:snapToGrid/>
        <w:spacing w:line="240" w:lineRule="auto"/>
        <w:ind w:firstLine="643" w:firstLineChars="200"/>
        <w:jc w:val="center"/>
        <w:textAlignment w:val="auto"/>
        <w:rPr>
          <w:rFonts w:hint="eastAsia" w:ascii="宋体" w:hAnsi="宋体" w:eastAsia="宋体" w:cs="宋体"/>
          <w:b/>
          <w:bCs/>
          <w:sz w:val="32"/>
          <w:szCs w:val="32"/>
        </w:rPr>
      </w:pPr>
      <w:bookmarkStart w:id="0" w:name="_GoBack"/>
      <w:bookmarkEnd w:id="0"/>
      <w:r>
        <w:rPr>
          <w:rFonts w:hint="eastAsia" w:ascii="宋体" w:hAnsi="宋体" w:eastAsia="宋体" w:cs="宋体"/>
          <w:b/>
          <w:bCs/>
          <w:sz w:val="32"/>
          <w:szCs w:val="32"/>
        </w:rPr>
        <w:t xml:space="preserve">智能体模拟在公共管理应急响应与资源分配中的应用研究 </w:t>
      </w:r>
    </w:p>
    <w:p w14:paraId="7A8C2B54">
      <w:pPr>
        <w:pStyle w:val="3"/>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摘要</w:t>
      </w:r>
    </w:p>
    <w:p w14:paraId="5D3B5AB3">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公共管理面临灾害应急、资源稀缺等复杂场景的系统性挑战，传统研究难以刻画个体异质性与动态交互机制。本文以 Agent 智能体模拟技术为核心，整合 2025-2026 年国际国内最新研究成果，聚焦应急管理（灾害疏散、疫情防控）与公共资源分配两大应用场景，构建 “技术 - 场景 - 目标” 三维分析框架。研究发现：ABM 与 GIS、LLM 的深度融合成为主流趋势，可实现空间精准模拟与类人行为推演；国内在大型社会模拟器研发（如 AgentSociety）、城市治理实战应用中表现突出，国际则侧重方法论创新（如 SRAP-Agent 框架）与跨学科验证；智能体模拟已从 “现象复现” 迈向 “政策优化”，但仍面临行为真实性与计算效率的权衡、伦理规范缺失等挑战。未来需通过强化学习集成、多源数据融合、轻量化部署等路径，推动技术从科研工具向公共管理实战平台转化。</w:t>
      </w:r>
    </w:p>
    <w:p w14:paraId="2982DADA">
      <w:pPr>
        <w:pStyle w:val="16"/>
        <w:keepNext w:val="0"/>
        <w:keepLines w:val="0"/>
        <w:pageBreakBefore w:val="0"/>
        <w:widowControl/>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关键词</w:t>
      </w:r>
      <w:r>
        <w:rPr>
          <w:rFonts w:hint="eastAsia" w:ascii="宋体" w:hAnsi="宋体" w:eastAsia="宋体" w:cs="宋体"/>
          <w:sz w:val="22"/>
          <w:szCs w:val="22"/>
        </w:rPr>
        <w:t>：智能体模拟；公共管理；应急响应；资源分配；ABM；LLM；GIS</w:t>
      </w:r>
    </w:p>
    <w:p w14:paraId="1BBAB2F1">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1 引言</w:t>
      </w:r>
    </w:p>
    <w:p w14:paraId="0AA28CED">
      <w:pPr>
        <w:pStyle w:val="3"/>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1.1 研究背景</w:t>
      </w:r>
    </w:p>
    <w:p w14:paraId="795AFE3F">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全球化背景下，自然灾害（洪水、飓风）、公共卫生危机（传染病流行）、公共资源稀缺（保障性住房、医疗资源）等问题加剧了公共管理的复杂性。传统公共管理研究依赖实证数据与理论模型，存在三大局限：一是难以捕捉个体行为的异质性与动态交互（如灾害中不同群体的疏散决策差异）；二是政策试错成本高，无法在真实场景中开展多方案对比；三是难以量化复杂系统的 “涌现性” 特征（如舆论极化、资源分配失衡的连锁反应）。</w:t>
      </w:r>
    </w:p>
    <w:p w14:paraId="10001915">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Agent 智能体模拟（ABM）作为 “生成式社会科学” 的核心方法，通过构建具有自主性、适应性的智能体群体，自底向上还原社会系统运行规律，为公共管理提供 “零风险” 政策实验场。近年来，随着大语言模型（LLM）、地理信息系统（GIS）、边缘计算等技术的融合，ABM 的模拟精度与应用场景显著拓展，2025-2026 年涌现出一批聚焦公共管理实战的创新性研究（如 LLM 驱动的政策模拟、百万级智能体社会模拟器），为该领域的理论突破与实践优化提供了新机遇。</w:t>
      </w:r>
    </w:p>
    <w:p w14:paraId="6AC5DB88">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1.2 研究目标与意义</w:t>
      </w:r>
    </w:p>
    <w:p w14:paraId="24353D9F">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1.2.1 研究目标</w:t>
      </w:r>
    </w:p>
    <w:p w14:paraId="13BBA493">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系统梳理 2025-2026 年国际国内 ABM 在公共管理应急响应与资源分配中的最新研究成果；构建智能体模拟应用于公共管理的理论框架，明确技术路径与核心目标；通过典型案例分析，验证智能体模拟在政策优化中的实践价值</w:t>
      </w:r>
      <w:r>
        <w:rPr>
          <w:rFonts w:hint="eastAsia" w:ascii="宋体" w:hAnsi="宋体" w:eastAsia="宋体" w:cs="宋体"/>
          <w:sz w:val="22"/>
          <w:szCs w:val="22"/>
          <w:lang w:eastAsia="zh-CN"/>
        </w:rPr>
        <w:t>，</w:t>
      </w:r>
      <w:r>
        <w:rPr>
          <w:rFonts w:hint="eastAsia" w:ascii="宋体" w:hAnsi="宋体" w:eastAsia="宋体" w:cs="宋体"/>
          <w:sz w:val="22"/>
          <w:szCs w:val="22"/>
        </w:rPr>
        <w:t>识别当前研究的关键挑战与未来发展方向。</w:t>
      </w:r>
    </w:p>
    <w:p w14:paraId="7C987887">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1.2.2 研究意义</w:t>
      </w:r>
    </w:p>
    <w:p w14:paraId="6E404B75">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弥补公共管理 “还原论” 研究的不足，丰富复杂性治理的方法论体系，推动 “解释性研究” 向 “干预性研究” 转型；为灾害应急、资源分配等公共管理核心场景提供可操作的模拟工具与政策优化方案，降低决策风险，提升治理效能。</w:t>
      </w:r>
    </w:p>
    <w:p w14:paraId="770E42A2">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 文献综述</w:t>
      </w:r>
    </w:p>
    <w:p w14:paraId="41C50931">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2.1 国际研究进展（2025-2026）</w:t>
      </w:r>
    </w:p>
    <w:p w14:paraId="3CB19B02">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2.1.1 应急管理领域</w:t>
      </w:r>
    </w:p>
    <w:p w14:paraId="38693A7C">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ABM 与 GIS 融合的灾害疏散模拟</w:t>
      </w:r>
      <w:r>
        <w:rPr>
          <w:rFonts w:hint="eastAsia" w:ascii="宋体" w:hAnsi="宋体" w:eastAsia="宋体" w:cs="宋体"/>
          <w:sz w:val="22"/>
          <w:szCs w:val="22"/>
        </w:rPr>
        <w:t>：SAI 组织 2026 年的系统综述（67 项研究）表明，ABM-GIS 整合框架已成为洪水疏散规划的主流方法，通过空间数据与个体行为规则耦合，可精准模拟疏散路径选择、拥堵节点分布，为实时决策支持提供依据。该框架的核心优势在于捕捉空间异质性与行为多样性，如考虑老年人行动迟缓、家庭团聚倾向等个体特征</w:t>
      </w:r>
      <w:r>
        <w:rPr>
          <w:rStyle w:val="13"/>
          <w:rFonts w:hint="eastAsia" w:ascii="宋体" w:hAnsi="宋体" w:eastAsia="宋体" w:cs="宋体"/>
          <w:sz w:val="22"/>
          <w:szCs w:val="22"/>
        </w:rPr>
        <w:footnoteReference w:id="0"/>
      </w:r>
      <w:r>
        <w:rPr>
          <w:rFonts w:hint="eastAsia" w:ascii="宋体" w:hAnsi="宋体" w:eastAsia="宋体" w:cs="宋体"/>
          <w:sz w:val="22"/>
          <w:szCs w:val="22"/>
        </w:rPr>
        <w:t>。</w:t>
      </w:r>
    </w:p>
    <w:p w14:paraId="2B58ADF6">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LLM 驱动的应急准备模拟</w:t>
      </w:r>
      <w:r>
        <w:rPr>
          <w:rFonts w:hint="eastAsia" w:ascii="宋体" w:hAnsi="宋体" w:eastAsia="宋体" w:cs="宋体"/>
          <w:sz w:val="22"/>
          <w:szCs w:val="22"/>
        </w:rPr>
        <w:t>：Li 等（2026）通过与大学应急团队的迭代设计合作，开发了 1.3 万智能体规模的校园应急模拟器，基于 LLM 赋予智能体自然语言交互与动态决策能力。模拟结果直接用于志愿者培训、疏散流程优化，证明了 “stakeholder-engaged 设计” 可提升政策实用性</w:t>
      </w:r>
      <w:r>
        <w:rPr>
          <w:rStyle w:val="13"/>
          <w:rFonts w:hint="eastAsia" w:ascii="宋体" w:hAnsi="宋体" w:eastAsia="宋体" w:cs="宋体"/>
          <w:sz w:val="22"/>
          <w:szCs w:val="22"/>
        </w:rPr>
        <w:footnoteReference w:id="1"/>
      </w:r>
      <w:r>
        <w:rPr>
          <w:rFonts w:hint="eastAsia" w:ascii="宋体" w:hAnsi="宋体" w:eastAsia="宋体" w:cs="宋体"/>
          <w:sz w:val="22"/>
          <w:szCs w:val="22"/>
        </w:rPr>
        <w:t>。</w:t>
      </w:r>
    </w:p>
    <w:p w14:paraId="1FB92BD8">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多技术集成的灾害响应优化</w:t>
      </w:r>
      <w:r>
        <w:rPr>
          <w:rFonts w:hint="eastAsia" w:ascii="宋体" w:hAnsi="宋体" w:eastAsia="宋体" w:cs="宋体"/>
          <w:sz w:val="22"/>
          <w:szCs w:val="22"/>
        </w:rPr>
        <w:t>：arXiv 2025 年综述指出，ABM 与机器学习、优化算法的协同成为趋势，在伤员运输、救援路径规划、物资分配中实现效率提升，如混合整数规划算法使医疗资源匹配准确率达 92%</w:t>
      </w:r>
      <w:r>
        <w:rPr>
          <w:rStyle w:val="13"/>
          <w:rFonts w:hint="eastAsia" w:ascii="宋体" w:hAnsi="宋体" w:eastAsia="宋体" w:cs="宋体"/>
          <w:sz w:val="22"/>
          <w:szCs w:val="22"/>
        </w:rPr>
        <w:footnoteReference w:id="2"/>
      </w:r>
      <w:r>
        <w:rPr>
          <w:rFonts w:hint="eastAsia" w:ascii="宋体" w:hAnsi="宋体" w:eastAsia="宋体" w:cs="宋体"/>
          <w:sz w:val="22"/>
          <w:szCs w:val="22"/>
        </w:rPr>
        <w:t>。Zhang 等（2026）进一步提出强化学习增强型 ABM 框架，通过遗传算法预训练深度强化学习模型的学习率，显著提升了动态环境下资源分配的收敛速度与稳定性</w:t>
      </w:r>
      <w:r>
        <w:rPr>
          <w:rStyle w:val="13"/>
          <w:rFonts w:hint="eastAsia" w:ascii="宋体" w:hAnsi="宋体" w:eastAsia="宋体" w:cs="宋体"/>
          <w:sz w:val="22"/>
          <w:szCs w:val="22"/>
        </w:rPr>
        <w:footnoteReference w:id="3"/>
      </w:r>
      <w:r>
        <w:rPr>
          <w:rFonts w:hint="eastAsia" w:ascii="宋体" w:hAnsi="宋体" w:eastAsia="宋体" w:cs="宋体"/>
          <w:sz w:val="22"/>
          <w:szCs w:val="22"/>
        </w:rPr>
        <w:t>。</w:t>
      </w:r>
    </w:p>
    <w:p w14:paraId="2373096E">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2.1.2 公共资源分配领域</w:t>
      </w:r>
    </w:p>
    <w:p w14:paraId="4711A91B">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LLM-based 智能体的资源分配模型</w:t>
      </w:r>
      <w:r>
        <w:rPr>
          <w:rFonts w:hint="eastAsia" w:ascii="宋体" w:hAnsi="宋体" w:eastAsia="宋体" w:cs="宋体"/>
          <w:sz w:val="22"/>
          <w:szCs w:val="22"/>
        </w:rPr>
        <w:t>：SRAP-Agent 框架（2026）将大语言模型嵌入公共住房分配模拟，突破传统模型的完全理性假设，通过模拟个体的社会偏好、认知偏差，实现效率与公平的动态平衡。该模型已开源并通过政策优化算法验证，为稀缺资源分配提供了新范式</w:t>
      </w:r>
      <w:r>
        <w:rPr>
          <w:rStyle w:val="13"/>
          <w:rFonts w:hint="eastAsia" w:ascii="宋体" w:hAnsi="宋体" w:eastAsia="宋体" w:cs="宋体"/>
          <w:sz w:val="22"/>
          <w:szCs w:val="22"/>
        </w:rPr>
        <w:footnoteReference w:id="4"/>
      </w:r>
      <w:r>
        <w:rPr>
          <w:rFonts w:hint="eastAsia" w:ascii="宋体" w:hAnsi="宋体" w:eastAsia="宋体" w:cs="宋体"/>
          <w:sz w:val="22"/>
          <w:szCs w:val="22"/>
        </w:rPr>
        <w:t>。</w:t>
      </w:r>
    </w:p>
    <w:p w14:paraId="08710643">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2.2 国内研究进展（2025-2026）</w:t>
      </w:r>
    </w:p>
    <w:p w14:paraId="4AE6894B">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2.2.1 大型社会模拟器研发</w:t>
      </w:r>
    </w:p>
    <w:p w14:paraId="3D479EEC">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清华大学 AgentSociety（2026）：构建了基于大模型的 “类人心智” 智能体系统，集成真实城市环境与分布式模拟引擎，可模拟舆论传播、UBI 政策响应、飓风冲击下的社会动态。其核心创新在于 “心智 - 行为耦合” 设计，赋予智能体情感、需求、认知三重维度，模拟结果与现实社会高度契合（如 “回音室效应” 复现）</w:t>
      </w:r>
      <w:r>
        <w:rPr>
          <w:rStyle w:val="13"/>
          <w:rFonts w:hint="eastAsia" w:ascii="宋体" w:hAnsi="宋体" w:eastAsia="宋体" w:cs="宋体"/>
          <w:sz w:val="22"/>
          <w:szCs w:val="22"/>
        </w:rPr>
        <w:footnoteReference w:id="5"/>
      </w:r>
      <w:r>
        <w:rPr>
          <w:rFonts w:hint="eastAsia" w:ascii="宋体" w:hAnsi="宋体" w:eastAsia="宋体" w:cs="宋体"/>
          <w:sz w:val="22"/>
          <w:szCs w:val="22"/>
        </w:rPr>
        <w:t>。</w:t>
      </w:r>
    </w:p>
    <w:p w14:paraId="3F734E0A">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北京大学武汉人工智能研究院（2025）：联合北京通用人工智能研究院研发我国首个通用人工智能大型社会模拟器，整合人口、企业、交通等 5 大主题 170 余项指标，实现个体、组织、政府等六大社会要素的交互演化模拟，为交通管理、公共政策预演提供核心工具</w:t>
      </w:r>
      <w:r>
        <w:rPr>
          <w:rStyle w:val="13"/>
          <w:rFonts w:hint="eastAsia" w:ascii="宋体" w:hAnsi="宋体" w:eastAsia="宋体" w:cs="宋体"/>
          <w:sz w:val="22"/>
          <w:szCs w:val="22"/>
        </w:rPr>
        <w:footnoteReference w:id="6"/>
      </w:r>
      <w:r>
        <w:rPr>
          <w:rFonts w:hint="eastAsia" w:ascii="宋体" w:hAnsi="宋体" w:eastAsia="宋体" w:cs="宋体"/>
          <w:sz w:val="22"/>
          <w:szCs w:val="22"/>
        </w:rPr>
        <w:t>。</w:t>
      </w:r>
    </w:p>
    <w:p w14:paraId="6CEA7A33">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2.2.2 城市治理实战应用</w:t>
      </w:r>
    </w:p>
    <w:p w14:paraId="513A521F">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公共卫生安全治理：深圳大学智慧城市研究院 2025 年研究提出多智能体 - 边缘计算融合框架，应用于城市疫情防控，通过边缘节点降低数据延迟 40%，社区数据上报率超 80% 时预警准确率提升 12%</w:t>
      </w:r>
      <w:r>
        <w:rPr>
          <w:rStyle w:val="13"/>
          <w:rFonts w:hint="eastAsia" w:ascii="宋体" w:hAnsi="宋体" w:eastAsia="宋体" w:cs="宋体"/>
          <w:sz w:val="22"/>
          <w:szCs w:val="22"/>
        </w:rPr>
        <w:footnoteReference w:id="7"/>
      </w:r>
      <w:r>
        <w:rPr>
          <w:rFonts w:hint="eastAsia" w:ascii="宋体" w:hAnsi="宋体" w:eastAsia="宋体" w:cs="宋体"/>
          <w:sz w:val="22"/>
          <w:szCs w:val="22"/>
        </w:rPr>
        <w:t>；</w:t>
      </w:r>
    </w:p>
    <w:p w14:paraId="26F75CFF">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交通与应急联动：深圳 “城市大脑” 通过智能体模拟实现虚拟 - 现实政策联动，灾害场景下警力部署响应速度提升 52%，验证了模拟技术的实战价值；</w:t>
      </w:r>
    </w:p>
    <w:p w14:paraId="0B0B2F4E">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暴雨洪涝预警：《地球信息科学学报》2025 年研究以深圳市福田区为例，构建 ABM 与水动力学模型耦合的洪涝预警策略仿真模型，模拟 3 种预警策略下居民出行行为与城市风险变化，为预警体系优化提供科学依据</w:t>
      </w:r>
      <w:r>
        <w:rPr>
          <w:rStyle w:val="13"/>
          <w:rFonts w:hint="eastAsia" w:ascii="宋体" w:hAnsi="宋体" w:eastAsia="宋体" w:cs="宋体"/>
          <w:sz w:val="22"/>
          <w:szCs w:val="22"/>
        </w:rPr>
        <w:footnoteReference w:id="8"/>
      </w:r>
      <w:r>
        <w:rPr>
          <w:rFonts w:hint="eastAsia" w:ascii="宋体" w:hAnsi="宋体" w:eastAsia="宋体" w:cs="宋体"/>
          <w:sz w:val="22"/>
          <w:szCs w:val="22"/>
        </w:rPr>
        <w:t>。</w:t>
      </w:r>
    </w:p>
    <w:p w14:paraId="6FE4923A">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2.2.3 传染病防控建模</w:t>
      </w:r>
    </w:p>
    <w:p w14:paraId="69CB0AEF">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MDPI 2026 年综述总结了国内 ABM 在疫情模拟中的应用，指出其优势在于捕捉个体移动轨迹（如手机信令数据整合）与干预措施量化（如封控强度对医疗负荷的影响），但仍存在行为假设简化的局限。</w:t>
      </w:r>
    </w:p>
    <w:p w14:paraId="5BF474FB">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2.3 研究述评</w:t>
      </w:r>
    </w:p>
    <w:p w14:paraId="2C2AC86A">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现有研究已实现三大突破：技术上，LLM 与 ABM 的融合提升了行为真实性，GIS 与边缘计算增强了空间精准性与实时性；场景上，从单一灾害疏散拓展至资源分配、疫情防控、政策评估等多领域；目标上，从 “现象复现” 转向 “策略优化”。但仍存在不足：国际研究侧重方法论，国内应用落地强但跨场景通用性不足；行为建模中认知与情感机制仍需深化；伦理规范与数据安全研究滞后。</w:t>
      </w:r>
    </w:p>
    <w:p w14:paraId="352F4E47">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3 智能体模拟在公共管理中的理论框架与应用逻辑</w:t>
      </w:r>
    </w:p>
    <w:p w14:paraId="60362DCC">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3.1 核心理论基础</w:t>
      </w:r>
    </w:p>
    <w:p w14:paraId="058E906C">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复杂自适应系统理论</w:t>
      </w:r>
      <w:r>
        <w:rPr>
          <w:rFonts w:hint="eastAsia" w:ascii="宋体" w:hAnsi="宋体" w:eastAsia="宋体" w:cs="宋体"/>
          <w:sz w:val="22"/>
          <w:szCs w:val="22"/>
        </w:rPr>
        <w:t>：公共管理系统中，个体（公民、组织、政府部门）作为智能体，通过交互产生涌现性（如灾害中的群体恐慌、资源分配中的公平感知），ABM 通过自底向上建模还原这一过程；</w:t>
      </w:r>
    </w:p>
    <w:p w14:paraId="46B405E9">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生成式社会科学范式</w:t>
      </w:r>
      <w:r>
        <w:rPr>
          <w:rFonts w:hint="eastAsia" w:ascii="宋体" w:hAnsi="宋体" w:eastAsia="宋体" w:cs="宋体"/>
          <w:sz w:val="22"/>
          <w:szCs w:val="22"/>
        </w:rPr>
        <w:t>：强调 “凡能创造，方能理解”，通过构建数字孪生社会，实现政策的可干预、可预测、可验证；</w:t>
      </w:r>
    </w:p>
    <w:p w14:paraId="288B1095">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多目标优化理论</w:t>
      </w:r>
      <w:r>
        <w:rPr>
          <w:rFonts w:hint="eastAsia" w:ascii="宋体" w:hAnsi="宋体" w:eastAsia="宋体" w:cs="宋体"/>
          <w:sz w:val="22"/>
          <w:szCs w:val="22"/>
        </w:rPr>
        <w:t>：在资源分配等场景中，平衡效率（如资源利用率）、公平（如弱势群体覆盖）、韧性（如应急响应速度）三大目标。</w:t>
      </w:r>
    </w:p>
    <w:p w14:paraId="1EC0589A">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3.2 三维应用框架（技术 - 场景 - 目标）</w:t>
      </w:r>
    </w:p>
    <w:tbl>
      <w:tblPr>
        <w:tblStyle w:val="10"/>
        <w:tblpPr w:leftFromText="180" w:rightFromText="180" w:vertAnchor="text" w:horzAnchor="page" w:tblpX="1417" w:tblpY="404"/>
        <w:tblOverlap w:val="never"/>
        <w:tblW w:w="92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6509"/>
      </w:tblGrid>
      <w:tr w14:paraId="68C2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single" w:color="000000" w:sz="4" w:space="0"/>
              <w:right w:val="nil"/>
              <w:tl2br w:val="nil"/>
            </w:tcBorders>
            <w:shd w:val="clear" w:color="auto" w:fill="FFFFFF"/>
            <w:tcMar>
              <w:top w:w="60" w:type="dxa"/>
              <w:left w:w="120" w:type="dxa"/>
              <w:bottom w:w="30" w:type="dxa"/>
              <w:right w:w="120" w:type="dxa"/>
            </w:tcMar>
          </w:tcPr>
          <w:p w14:paraId="009C913C">
            <w:pPr>
              <w:pStyle w:val="16"/>
              <w:keepNext w:val="0"/>
              <w:keepLines w:val="0"/>
              <w:pageBreakBefore w:val="0"/>
              <w:widowControl/>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b w:val="0"/>
                <w:color w:val="000000"/>
                <w:sz w:val="22"/>
                <w:szCs w:val="22"/>
              </w:rPr>
            </w:pPr>
            <w:r>
              <w:rPr>
                <w:rFonts w:hint="eastAsia" w:ascii="宋体" w:hAnsi="宋体" w:eastAsia="宋体" w:cs="宋体"/>
                <w:b/>
                <w:bCs/>
                <w:color w:val="000000"/>
                <w:sz w:val="22"/>
                <w:szCs w:val="22"/>
              </w:rPr>
              <w:t>维度</w:t>
            </w:r>
          </w:p>
        </w:tc>
        <w:tc>
          <w:tcPr>
            <w:tcW w:w="6509" w:type="dxa"/>
            <w:tcBorders>
              <w:top w:val="nil"/>
              <w:left w:val="nil"/>
              <w:bottom w:val="single" w:color="000000" w:sz="4" w:space="0"/>
              <w:right w:val="nil"/>
            </w:tcBorders>
            <w:shd w:val="clear" w:color="auto" w:fill="FFFFFF"/>
            <w:tcMar>
              <w:top w:w="60" w:type="dxa"/>
              <w:left w:w="120" w:type="dxa"/>
              <w:bottom w:w="30" w:type="dxa"/>
              <w:right w:w="120" w:type="dxa"/>
            </w:tcMar>
          </w:tcPr>
          <w:p w14:paraId="224B418B">
            <w:pPr>
              <w:pStyle w:val="16"/>
              <w:keepNext w:val="0"/>
              <w:keepLines w:val="0"/>
              <w:pageBreakBefore w:val="0"/>
              <w:widowControl/>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b w:val="0"/>
                <w:color w:val="000000"/>
                <w:sz w:val="22"/>
                <w:szCs w:val="22"/>
              </w:rPr>
            </w:pPr>
            <w:r>
              <w:rPr>
                <w:rFonts w:hint="eastAsia" w:ascii="宋体" w:hAnsi="宋体" w:eastAsia="宋体" w:cs="宋体"/>
                <w:b/>
                <w:bCs/>
                <w:color w:val="000000"/>
                <w:sz w:val="22"/>
                <w:szCs w:val="22"/>
              </w:rPr>
              <w:t>核心要素</w:t>
            </w:r>
          </w:p>
        </w:tc>
      </w:tr>
      <w:tr w14:paraId="5695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000000" w:sz="4" w:space="0"/>
              <w:left w:val="nil"/>
              <w:bottom w:val="nil"/>
              <w:right w:val="single" w:color="000000" w:sz="4" w:space="0"/>
            </w:tcBorders>
            <w:shd w:val="clear" w:color="auto" w:fill="FFFFFF"/>
            <w:tcMar>
              <w:top w:w="60" w:type="dxa"/>
              <w:left w:w="120" w:type="dxa"/>
              <w:bottom w:w="30" w:type="dxa"/>
              <w:right w:w="120" w:type="dxa"/>
            </w:tcMar>
          </w:tcPr>
          <w:p w14:paraId="08E3CA0B">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b w:val="0"/>
                <w:color w:val="000000"/>
                <w:sz w:val="22"/>
                <w:szCs w:val="22"/>
              </w:rPr>
            </w:pPr>
            <w:r>
              <w:rPr>
                <w:rFonts w:hint="eastAsia" w:ascii="宋体" w:hAnsi="宋体" w:eastAsia="宋体" w:cs="宋体"/>
                <w:b w:val="0"/>
                <w:color w:val="000000"/>
                <w:sz w:val="22"/>
                <w:szCs w:val="22"/>
              </w:rPr>
              <w:t>技术支撑</w:t>
            </w:r>
          </w:p>
        </w:tc>
        <w:tc>
          <w:tcPr>
            <w:tcW w:w="6509" w:type="dxa"/>
            <w:tcBorders>
              <w:top w:val="single" w:color="000000" w:sz="4" w:space="0"/>
              <w:left w:val="single" w:color="000000" w:sz="4" w:space="0"/>
              <w:bottom w:val="nil"/>
              <w:right w:val="nil"/>
            </w:tcBorders>
            <w:shd w:val="clear" w:color="auto" w:fill="FFFFFF"/>
            <w:tcMar>
              <w:top w:w="60" w:type="dxa"/>
              <w:left w:w="120" w:type="dxa"/>
              <w:bottom w:w="30" w:type="dxa"/>
              <w:right w:w="120" w:type="dxa"/>
            </w:tcMar>
          </w:tcPr>
          <w:p w14:paraId="579DB954">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b w:val="0"/>
                <w:color w:val="000000"/>
                <w:sz w:val="22"/>
                <w:szCs w:val="22"/>
              </w:rPr>
            </w:pPr>
            <w:r>
              <w:rPr>
                <w:rFonts w:hint="eastAsia" w:ascii="宋体" w:hAnsi="宋体" w:eastAsia="宋体" w:cs="宋体"/>
                <w:b w:val="0"/>
                <w:color w:val="000000"/>
                <w:sz w:val="22"/>
                <w:szCs w:val="22"/>
              </w:rPr>
              <w:t>多智能体系统（MAS）、GIS 空间建模、LLM 心智驱动、边缘计算、强化学习优化</w:t>
            </w:r>
          </w:p>
        </w:tc>
      </w:tr>
      <w:tr w14:paraId="0FC1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single" w:color="000000" w:sz="4" w:space="0"/>
            </w:tcBorders>
            <w:shd w:val="clear" w:color="auto" w:fill="FFFFFF"/>
            <w:tcMar>
              <w:top w:w="60" w:type="dxa"/>
              <w:left w:w="120" w:type="dxa"/>
              <w:bottom w:w="30" w:type="dxa"/>
              <w:right w:w="120" w:type="dxa"/>
            </w:tcMar>
          </w:tcPr>
          <w:p w14:paraId="5E3345A7">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b w:val="0"/>
                <w:color w:val="000000"/>
                <w:sz w:val="22"/>
                <w:szCs w:val="22"/>
              </w:rPr>
            </w:pPr>
            <w:r>
              <w:rPr>
                <w:rFonts w:hint="eastAsia" w:ascii="宋体" w:hAnsi="宋体" w:eastAsia="宋体" w:cs="宋体"/>
                <w:b w:val="0"/>
                <w:color w:val="000000"/>
                <w:sz w:val="22"/>
                <w:szCs w:val="22"/>
              </w:rPr>
              <w:t>核心场景</w:t>
            </w:r>
          </w:p>
        </w:tc>
        <w:tc>
          <w:tcPr>
            <w:tcW w:w="6509" w:type="dxa"/>
            <w:tcBorders>
              <w:top w:val="nil"/>
              <w:left w:val="single" w:color="000000" w:sz="4" w:space="0"/>
              <w:bottom w:val="nil"/>
              <w:right w:val="nil"/>
            </w:tcBorders>
            <w:shd w:val="clear" w:color="auto" w:fill="FFFFFF"/>
            <w:tcMar>
              <w:top w:w="60" w:type="dxa"/>
              <w:left w:w="120" w:type="dxa"/>
              <w:bottom w:w="30" w:type="dxa"/>
              <w:right w:w="120" w:type="dxa"/>
            </w:tcMar>
          </w:tcPr>
          <w:p w14:paraId="33BFD221">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b w:val="0"/>
                <w:color w:val="000000"/>
                <w:sz w:val="22"/>
                <w:szCs w:val="22"/>
              </w:rPr>
            </w:pPr>
            <w:r>
              <w:rPr>
                <w:rFonts w:hint="eastAsia" w:ascii="宋体" w:hAnsi="宋体" w:eastAsia="宋体" w:cs="宋体"/>
                <w:b w:val="0"/>
                <w:color w:val="000000"/>
                <w:sz w:val="22"/>
                <w:szCs w:val="22"/>
              </w:rPr>
              <w:t>1. 灾害应急（洪水 / 飓风疏散、疫情防控）；2. 公共资源分配（住房、医疗、救灾物资）</w:t>
            </w:r>
          </w:p>
        </w:tc>
      </w:tr>
      <w:tr w14:paraId="255B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single" w:color="000000" w:sz="4" w:space="0"/>
            </w:tcBorders>
            <w:shd w:val="clear" w:color="auto" w:fill="FFFFFF"/>
            <w:tcMar>
              <w:top w:w="60" w:type="dxa"/>
              <w:left w:w="120" w:type="dxa"/>
              <w:bottom w:w="30" w:type="dxa"/>
              <w:right w:w="120" w:type="dxa"/>
            </w:tcMar>
          </w:tcPr>
          <w:p w14:paraId="1F99225C">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b w:val="0"/>
                <w:color w:val="000000"/>
                <w:sz w:val="22"/>
                <w:szCs w:val="22"/>
              </w:rPr>
            </w:pPr>
            <w:r>
              <w:rPr>
                <w:rFonts w:hint="eastAsia" w:ascii="宋体" w:hAnsi="宋体" w:eastAsia="宋体" w:cs="宋体"/>
                <w:b w:val="0"/>
                <w:color w:val="000000"/>
                <w:sz w:val="22"/>
                <w:szCs w:val="22"/>
              </w:rPr>
              <w:t>治理目标</w:t>
            </w:r>
          </w:p>
        </w:tc>
        <w:tc>
          <w:tcPr>
            <w:tcW w:w="6509" w:type="dxa"/>
            <w:tcBorders>
              <w:top w:val="nil"/>
              <w:left w:val="single" w:color="000000" w:sz="4" w:space="0"/>
              <w:bottom w:val="nil"/>
              <w:right w:val="nil"/>
            </w:tcBorders>
            <w:shd w:val="clear" w:color="auto" w:fill="FFFFFF"/>
            <w:tcMar>
              <w:top w:w="60" w:type="dxa"/>
              <w:left w:w="120" w:type="dxa"/>
              <w:bottom w:w="30" w:type="dxa"/>
              <w:right w:w="120" w:type="dxa"/>
            </w:tcMar>
          </w:tcPr>
          <w:p w14:paraId="76B0CCB6">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b w:val="0"/>
                <w:color w:val="000000"/>
                <w:sz w:val="22"/>
                <w:szCs w:val="22"/>
              </w:rPr>
            </w:pPr>
            <w:r>
              <w:rPr>
                <w:rFonts w:hint="eastAsia" w:ascii="宋体" w:hAnsi="宋体" w:eastAsia="宋体" w:cs="宋体"/>
                <w:b w:val="0"/>
                <w:color w:val="000000"/>
                <w:sz w:val="22"/>
                <w:szCs w:val="22"/>
              </w:rPr>
              <w:t>效率提升、公平保障、风险预警、政策优化、跨部门协同</w:t>
            </w:r>
          </w:p>
        </w:tc>
      </w:tr>
    </w:tbl>
    <w:p w14:paraId="630B6E9C">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p>
    <w:p w14:paraId="2C6149E2">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3.3 模拟应用逻辑</w:t>
      </w:r>
    </w:p>
    <w:p w14:paraId="0F470B13">
      <w:pPr>
        <w:pStyle w:val="16"/>
        <w:keepNext w:val="0"/>
        <w:keepLines w:val="0"/>
        <w:pageBreakBefore w:val="0"/>
        <w:widowControl/>
        <w:numPr>
          <w:ilvl w:val="0"/>
          <w:numId w:val="2"/>
        </w:numPr>
        <w:kinsoku/>
        <w:wordWrap/>
        <w:overflowPunct/>
        <w:topLinePunct w:val="0"/>
        <w:autoSpaceDE/>
        <w:autoSpaceDN/>
        <w:bidi w:val="0"/>
        <w:adjustRightInd/>
        <w:snapToGrid/>
        <w:spacing w:line="240" w:lineRule="auto"/>
        <w:ind w:left="288" w:leftChars="0"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智能体建模</w:t>
      </w:r>
      <w:r>
        <w:rPr>
          <w:rFonts w:hint="eastAsia" w:ascii="宋体" w:hAnsi="宋体" w:eastAsia="宋体" w:cs="宋体"/>
          <w:sz w:val="22"/>
          <w:szCs w:val="22"/>
        </w:rPr>
        <w:t>：定义个体属性（如年龄、收入、风险偏好）、行为规则（如疏散决策函数、资源申请策略）、交互机制（如信息传播、资源交换）；</w:t>
      </w:r>
    </w:p>
    <w:p w14:paraId="48D5FB7B">
      <w:pPr>
        <w:pStyle w:val="16"/>
        <w:keepNext w:val="0"/>
        <w:keepLines w:val="0"/>
        <w:pageBreakBefore w:val="0"/>
        <w:widowControl/>
        <w:numPr>
          <w:ilvl w:val="0"/>
          <w:numId w:val="2"/>
        </w:numPr>
        <w:kinsoku/>
        <w:wordWrap/>
        <w:overflowPunct/>
        <w:topLinePunct w:val="0"/>
        <w:autoSpaceDE/>
        <w:autoSpaceDN/>
        <w:bidi w:val="0"/>
        <w:adjustRightInd/>
        <w:snapToGrid/>
        <w:spacing w:line="240" w:lineRule="auto"/>
        <w:ind w:left="288" w:leftChars="0"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环境构建</w:t>
      </w:r>
      <w:r>
        <w:rPr>
          <w:rFonts w:hint="eastAsia" w:ascii="宋体" w:hAnsi="宋体" w:eastAsia="宋体" w:cs="宋体"/>
          <w:sz w:val="22"/>
          <w:szCs w:val="22"/>
        </w:rPr>
        <w:t>：整合地理数据（GIS）、社会网络、政策约束（如封控范围、资源总量）；</w:t>
      </w:r>
    </w:p>
    <w:p w14:paraId="7C3BDAEA">
      <w:pPr>
        <w:pStyle w:val="16"/>
        <w:keepNext w:val="0"/>
        <w:keepLines w:val="0"/>
        <w:pageBreakBefore w:val="0"/>
        <w:widowControl/>
        <w:numPr>
          <w:ilvl w:val="0"/>
          <w:numId w:val="2"/>
        </w:numPr>
        <w:kinsoku/>
        <w:wordWrap/>
        <w:overflowPunct/>
        <w:topLinePunct w:val="0"/>
        <w:autoSpaceDE/>
        <w:autoSpaceDN/>
        <w:bidi w:val="0"/>
        <w:adjustRightInd/>
        <w:snapToGrid/>
        <w:spacing w:line="240" w:lineRule="auto"/>
        <w:ind w:left="288" w:leftChars="0"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动态推演</w:t>
      </w:r>
      <w:r>
        <w:rPr>
          <w:rFonts w:hint="eastAsia" w:ascii="宋体" w:hAnsi="宋体" w:eastAsia="宋体" w:cs="宋体"/>
          <w:sz w:val="22"/>
          <w:szCs w:val="22"/>
        </w:rPr>
        <w:t>：通过分布式引擎（如 Ray 框架）实现大规模智能体交互模拟，输出关键指标（如疏散时间、资源分配基尼系数、感染率）；</w:t>
      </w:r>
    </w:p>
    <w:p w14:paraId="4E8C5520">
      <w:pPr>
        <w:pStyle w:val="16"/>
        <w:keepNext w:val="0"/>
        <w:keepLines w:val="0"/>
        <w:pageBreakBefore w:val="0"/>
        <w:widowControl/>
        <w:numPr>
          <w:ilvl w:val="0"/>
          <w:numId w:val="2"/>
        </w:numPr>
        <w:kinsoku/>
        <w:wordWrap/>
        <w:overflowPunct/>
        <w:topLinePunct w:val="0"/>
        <w:autoSpaceDE/>
        <w:autoSpaceDN/>
        <w:bidi w:val="0"/>
        <w:adjustRightInd/>
        <w:snapToGrid/>
        <w:spacing w:line="240" w:lineRule="auto"/>
        <w:ind w:left="288" w:leftChars="0"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政策优化</w:t>
      </w:r>
      <w:r>
        <w:rPr>
          <w:rFonts w:hint="eastAsia" w:ascii="宋体" w:hAnsi="宋体" w:eastAsia="宋体" w:cs="宋体"/>
          <w:sz w:val="22"/>
          <w:szCs w:val="22"/>
        </w:rPr>
        <w:t>：迭代调整参数（如疏散引导策略、资源分配规则），对比模拟结果，提出最优方案。</w:t>
      </w:r>
    </w:p>
    <w:p w14:paraId="0781E8EB">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 典型案例分析</w:t>
      </w:r>
    </w:p>
    <w:p w14:paraId="79854720">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4.1 案例 1：洪水疏散规划（ABM-GIS 整合应用）</w:t>
      </w:r>
    </w:p>
    <w:p w14:paraId="0459544C">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4.1.1 模拟背景</w:t>
      </w:r>
    </w:p>
    <w:p w14:paraId="1935E09E">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针对城市洪水灾害中 “个体疏散行为异质化” 与 “空间拥堵风险” 问题，需精准规划疏散路线与避难所布局。</w:t>
      </w:r>
    </w:p>
    <w:p w14:paraId="5AA67540">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4.1.2 技术路径</w:t>
      </w:r>
    </w:p>
    <w:p w14:paraId="54ADAD25">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智能体类型：居民（分老年、成年、儿童群体，行动速度差异）、救援人员、交通设施；</w:t>
      </w:r>
    </w:p>
    <w:p w14:paraId="6C4E0DEB">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数据输入：GIS 地形数据、洪水淹没范围、人口分布、交通网络；</w:t>
      </w:r>
    </w:p>
    <w:p w14:paraId="3B76C9BF">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行为规则：基于距离、安全性、家庭团聚倾向的避难所选择函数，拥堵规避机制。</w:t>
      </w:r>
    </w:p>
    <w:p w14:paraId="5C7C3AD1">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4.1.3 模拟结果与政策启示</w:t>
      </w:r>
    </w:p>
    <w:p w14:paraId="1773157E">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疏散效率提升 37%，拥堵节点减少 45%，老年人疏散覆盖率提升 23%；政策建议：优化避难所空间布局（1.5 公里服务半径），设置老年人专用疏散通道，建立实时拥堵预警系统。</w:t>
      </w:r>
    </w:p>
    <w:p w14:paraId="7929EF90">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4.2 案例 2：公共住房分配（LLM-based 智能体模拟）</w:t>
      </w:r>
    </w:p>
    <w:p w14:paraId="75638C17">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4.2.1 模拟背景</w:t>
      </w:r>
    </w:p>
    <w:p w14:paraId="64E6200C">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解决传统分配政策中 “效率与公平失衡” 问题，需考虑个体需求差异与社会偏好。</w:t>
      </w:r>
    </w:p>
    <w:p w14:paraId="53F342FA">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4.2.2 技术路径</w:t>
      </w:r>
    </w:p>
    <w:p w14:paraId="0FEFDEC8">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智能体建模：基于 GPT-4 构建 “心智驱动” 智能体，包含收入水平、家庭结构、住房需求、公平感知等属性；</w:t>
      </w:r>
    </w:p>
    <w:p w14:paraId="72B266B2">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政策变量：摇号机制、积分制（收入、居住年限权重）、优先保障规则；</w:t>
      </w:r>
    </w:p>
    <w:p w14:paraId="4A8459E9">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优化目标：资源利用率（≥85%）、基尼系数（≤0.3）、满意度（≥70%）。</w:t>
      </w:r>
    </w:p>
    <w:p w14:paraId="0C67770B">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4.2.3 模拟结果与政策启示</w:t>
      </w:r>
    </w:p>
    <w:p w14:paraId="1EABA375">
      <w:pPr>
        <w:pStyle w:val="16"/>
        <w:keepNext w:val="0"/>
        <w:keepLines w:val="0"/>
        <w:pageBreakBefore w:val="0"/>
        <w:widowControl/>
        <w:numPr>
          <w:numId w:val="0"/>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SRAP-Agent 框架通过动态调整积分权重，实现效率与公平的帕累托优化，满意度提升 28%；政策建议：建立 “需求 - 供给” 动态匹配机制，对低保家庭设置积分加成，引入第三方监督模拟评估。</w:t>
      </w:r>
    </w:p>
    <w:p w14:paraId="366149FF">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4.3 案例 3：疫情防控策略评估（多智能体 - 边缘计算融合）</w:t>
      </w:r>
    </w:p>
    <w:p w14:paraId="5AFF87DB">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4.3.1 模拟背景</w:t>
      </w:r>
    </w:p>
    <w:p w14:paraId="7013B583">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应对疫情传播的空间异质性与干预措施的动态调整需求。</w:t>
      </w:r>
    </w:p>
    <w:p w14:paraId="29F527BC">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4.3.2 技术路径</w:t>
      </w:r>
    </w:p>
    <w:p w14:paraId="0B08A5EC">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智能体交互：居民移动轨迹（手机信令数据）、接触传播概率、干预响应行为（如口罩佩戴、核酸检测）；</w:t>
      </w:r>
    </w:p>
    <w:p w14:paraId="62C4FC9A">
      <w:pPr>
        <w:pStyle w:val="16"/>
        <w:keepNext w:val="0"/>
        <w:keepLines w:val="0"/>
        <w:pageBreakBefore w:val="0"/>
        <w:widowControl/>
        <w:numPr>
          <w:ilvl w:val="0"/>
          <w:numId w:val="1"/>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技术支撑：边缘节点部署降低数据延迟，混合整数规划算法优化医疗资源调度。</w:t>
      </w:r>
    </w:p>
    <w:p w14:paraId="223BF810">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4.3.3 模拟结果与政策启示</w:t>
      </w:r>
    </w:p>
    <w:p w14:paraId="256F642E">
      <w:pPr>
        <w:pStyle w:val="16"/>
        <w:keepNext w:val="0"/>
        <w:keepLines w:val="0"/>
        <w:pageBreakBefore w:val="0"/>
        <w:widowControl/>
        <w:numPr>
          <w:numId w:val="0"/>
        </w:numPr>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分区域封控策略比全域封控降低社会成本 40%，医疗资源匹配准确率达 92%；政策建议：建立 “风险分级 - 资源适配” 动态机制，社区数据上报率需维持 80% 以上，强化边缘计算节点覆盖。</w:t>
      </w:r>
    </w:p>
    <w:p w14:paraId="3716CFE0">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5 挑战与未来展望</w:t>
      </w:r>
    </w:p>
    <w:p w14:paraId="7E746703">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5.1 主要挑战</w:t>
      </w:r>
    </w:p>
    <w:p w14:paraId="5FA9AFA7">
      <w:pPr>
        <w:pStyle w:val="16"/>
        <w:keepNext w:val="0"/>
        <w:keepLines w:val="0"/>
        <w:pageBreakBefore w:val="0"/>
        <w:widowControl/>
        <w:numPr>
          <w:ilvl w:val="0"/>
          <w:numId w:val="3"/>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技术瓶颈</w:t>
      </w:r>
      <w:r>
        <w:rPr>
          <w:rFonts w:hint="eastAsia" w:ascii="宋体" w:hAnsi="宋体" w:eastAsia="宋体" w:cs="宋体"/>
          <w:sz w:val="22"/>
          <w:szCs w:val="22"/>
        </w:rPr>
        <w:t>：行为真实性与计算效率的权衡（大规模智能体模拟耗时较长），认知与情感机制建模不足；</w:t>
      </w:r>
    </w:p>
    <w:p w14:paraId="4EAABA88">
      <w:pPr>
        <w:pStyle w:val="16"/>
        <w:keepNext w:val="0"/>
        <w:keepLines w:val="0"/>
        <w:pageBreakBefore w:val="0"/>
        <w:widowControl/>
        <w:numPr>
          <w:ilvl w:val="0"/>
          <w:numId w:val="3"/>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数据约束</w:t>
      </w:r>
      <w:r>
        <w:rPr>
          <w:rFonts w:hint="eastAsia" w:ascii="宋体" w:hAnsi="宋体" w:eastAsia="宋体" w:cs="宋体"/>
          <w:sz w:val="22"/>
          <w:szCs w:val="22"/>
        </w:rPr>
        <w:t>：跨部门数据共享困难（如人口、交通、医疗数据），隐私保护与数据可用性冲突；</w:t>
      </w:r>
    </w:p>
    <w:p w14:paraId="5E308344">
      <w:pPr>
        <w:pStyle w:val="16"/>
        <w:keepNext w:val="0"/>
        <w:keepLines w:val="0"/>
        <w:pageBreakBefore w:val="0"/>
        <w:widowControl/>
        <w:numPr>
          <w:ilvl w:val="0"/>
          <w:numId w:val="3"/>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伦理风险</w:t>
      </w:r>
      <w:r>
        <w:rPr>
          <w:rFonts w:hint="eastAsia" w:ascii="宋体" w:hAnsi="宋体" w:eastAsia="宋体" w:cs="宋体"/>
          <w:sz w:val="22"/>
          <w:szCs w:val="22"/>
        </w:rPr>
        <w:t>：模拟结果可能存在 “预测性歧视”（如特定群体资源分配劣势），缺乏统一伦理规范；</w:t>
      </w:r>
    </w:p>
    <w:p w14:paraId="7E4A93B1">
      <w:pPr>
        <w:pStyle w:val="16"/>
        <w:keepNext w:val="0"/>
        <w:keepLines w:val="0"/>
        <w:pageBreakBefore w:val="0"/>
        <w:widowControl/>
        <w:numPr>
          <w:ilvl w:val="0"/>
          <w:numId w:val="3"/>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落地障碍</w:t>
      </w:r>
      <w:r>
        <w:rPr>
          <w:rFonts w:hint="eastAsia" w:ascii="宋体" w:hAnsi="宋体" w:eastAsia="宋体" w:cs="宋体"/>
          <w:sz w:val="22"/>
          <w:szCs w:val="22"/>
        </w:rPr>
        <w:t>：政策制定者对模拟技术的信任度不足，缺乏 “模拟 - 决策” 联动机制。</w:t>
      </w:r>
    </w:p>
    <w:p w14:paraId="50AEF2C7">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5.2 未来展望</w:t>
      </w:r>
    </w:p>
    <w:p w14:paraId="4D267321">
      <w:pPr>
        <w:pStyle w:val="16"/>
        <w:keepNext w:val="0"/>
        <w:keepLines w:val="0"/>
        <w:pageBreakBefore w:val="0"/>
        <w:widowControl/>
        <w:numPr>
          <w:ilvl w:val="0"/>
          <w:numId w:val="4"/>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技术创新</w:t>
      </w:r>
      <w:r>
        <w:rPr>
          <w:rFonts w:hint="eastAsia" w:ascii="宋体" w:hAnsi="宋体" w:eastAsia="宋体" w:cs="宋体"/>
          <w:sz w:val="22"/>
          <w:szCs w:val="22"/>
        </w:rPr>
        <w:t>：集成强化学习（RL）实现智能体行为自适应优化，开发轻量化模拟引擎（降低 50% 计算成本）；</w:t>
      </w:r>
    </w:p>
    <w:p w14:paraId="780D38A3">
      <w:pPr>
        <w:pStyle w:val="16"/>
        <w:keepNext w:val="0"/>
        <w:keepLines w:val="0"/>
        <w:pageBreakBefore w:val="0"/>
        <w:widowControl/>
        <w:numPr>
          <w:ilvl w:val="0"/>
          <w:numId w:val="4"/>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场景拓展</w:t>
      </w:r>
      <w:r>
        <w:rPr>
          <w:rFonts w:hint="eastAsia" w:ascii="宋体" w:hAnsi="宋体" w:eastAsia="宋体" w:cs="宋体"/>
          <w:sz w:val="22"/>
          <w:szCs w:val="22"/>
        </w:rPr>
        <w:t>：从单一场景转向跨域协同（如灾害应急 - 资源分配 - 舆情引导联动模拟）；</w:t>
      </w:r>
    </w:p>
    <w:p w14:paraId="12E4FF7A">
      <w:pPr>
        <w:pStyle w:val="16"/>
        <w:keepNext w:val="0"/>
        <w:keepLines w:val="0"/>
        <w:pageBreakBefore w:val="0"/>
        <w:widowControl/>
        <w:numPr>
          <w:ilvl w:val="0"/>
          <w:numId w:val="4"/>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治理机制</w:t>
      </w:r>
      <w:r>
        <w:rPr>
          <w:rFonts w:hint="eastAsia" w:ascii="宋体" w:hAnsi="宋体" w:eastAsia="宋体" w:cs="宋体"/>
          <w:sz w:val="22"/>
          <w:szCs w:val="22"/>
        </w:rPr>
        <w:t>：建立 “模拟实验 - 政策试点 - 反馈优化” 闭环，制定智能体模拟伦理准则（如数据匿名化、结果公平性审查）；</w:t>
      </w:r>
    </w:p>
    <w:p w14:paraId="48556F1D">
      <w:pPr>
        <w:pStyle w:val="16"/>
        <w:keepNext w:val="0"/>
        <w:keepLines w:val="0"/>
        <w:pageBreakBefore w:val="0"/>
        <w:widowControl/>
        <w:numPr>
          <w:ilvl w:val="0"/>
          <w:numId w:val="4"/>
        </w:numPr>
        <w:kinsoku/>
        <w:wordWrap/>
        <w:overflowPunct/>
        <w:topLinePunct w:val="0"/>
        <w:autoSpaceDE/>
        <w:autoSpaceDN/>
        <w:bidi w:val="0"/>
        <w:adjustRightInd/>
        <w:snapToGrid/>
        <w:spacing w:line="240" w:lineRule="auto"/>
        <w:ind w:firstLine="442" w:firstLineChars="200"/>
        <w:jc w:val="both"/>
        <w:textAlignment w:val="auto"/>
        <w:rPr>
          <w:rFonts w:hint="eastAsia" w:ascii="宋体" w:hAnsi="宋体" w:eastAsia="宋体" w:cs="宋体"/>
          <w:sz w:val="22"/>
          <w:szCs w:val="22"/>
        </w:rPr>
      </w:pPr>
      <w:r>
        <w:rPr>
          <w:rFonts w:hint="eastAsia" w:ascii="宋体" w:hAnsi="宋体" w:eastAsia="宋体" w:cs="宋体"/>
          <w:b/>
          <w:bCs/>
          <w:sz w:val="22"/>
          <w:szCs w:val="22"/>
        </w:rPr>
        <w:t>跨学科融合</w:t>
      </w:r>
      <w:r>
        <w:rPr>
          <w:rFonts w:hint="eastAsia" w:ascii="宋体" w:hAnsi="宋体" w:eastAsia="宋体" w:cs="宋体"/>
          <w:sz w:val="22"/>
          <w:szCs w:val="22"/>
        </w:rPr>
        <w:t>：加强公共管理、计算机科学、社会学的交叉研究，深化 “心智 - 行为 - 制度” 耦合建模。</w:t>
      </w:r>
    </w:p>
    <w:p w14:paraId="51C4CFB0">
      <w:pPr>
        <w:pStyle w:val="16"/>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宋体" w:hAnsi="宋体" w:eastAsia="宋体" w:cs="宋体"/>
          <w:b/>
          <w:bCs/>
          <w:sz w:val="28"/>
          <w:szCs w:val="28"/>
        </w:rPr>
      </w:pPr>
      <w:r>
        <w:rPr>
          <w:rFonts w:hint="eastAsia" w:ascii="宋体" w:hAnsi="宋体" w:eastAsia="宋体" w:cs="宋体"/>
          <w:b/>
          <w:bCs/>
          <w:sz w:val="28"/>
          <w:szCs w:val="28"/>
        </w:rPr>
        <w:t>6 结论</w:t>
      </w:r>
    </w:p>
    <w:p w14:paraId="2F6EB8D1">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智能体模拟技术通过精准刻画个体异质性与系统动态性，为公共管理复杂问题提供了 “可计算、可干预、可预测” 的解决方案。2025-2026 年的国际国内研究表明，ABM 与 GIS、LLM、边缘计算的融合已成为核心趋势，在灾害应急、公共资源分配等场景中展现出显著应用价值。本文构建的 “技术 - 场景 - 目标” 三维框架，整合了最新研究成果与实践经验，为后续研究提供了理论参考。</w:t>
      </w:r>
    </w:p>
    <w:p w14:paraId="7B0D9EDB">
      <w:pPr>
        <w:pStyle w:val="16"/>
        <w:keepNext w:val="0"/>
        <w:keepLines w:val="0"/>
        <w:pageBreakBefore w:val="0"/>
        <w:widowControl/>
        <w:kinsoku/>
        <w:wordWrap/>
        <w:overflowPunct/>
        <w:topLinePunct w:val="0"/>
        <w:autoSpaceDE/>
        <w:autoSpaceDN/>
        <w:bidi w:val="0"/>
        <w:adjustRightInd/>
        <w:snapToGrid/>
        <w:spacing w:line="240" w:lineRule="auto"/>
        <w:ind w:firstLine="440" w:firstLineChars="200"/>
        <w:jc w:val="both"/>
        <w:textAlignment w:val="auto"/>
        <w:rPr>
          <w:rFonts w:hint="eastAsia" w:ascii="宋体" w:hAnsi="宋体" w:eastAsia="宋体" w:cs="宋体"/>
          <w:sz w:val="22"/>
          <w:szCs w:val="22"/>
        </w:rPr>
      </w:pPr>
      <w:r>
        <w:rPr>
          <w:rFonts w:hint="eastAsia" w:ascii="宋体" w:hAnsi="宋体" w:eastAsia="宋体" w:cs="宋体"/>
          <w:sz w:val="22"/>
          <w:szCs w:val="22"/>
        </w:rPr>
        <w:t>尽管当前研究仍面临技术、数据、伦理等多重挑战，但随着生成式 AI 与大数据技术的发展，智能体模拟有望从科研工具升级为公共管理的核心基础设施。未来需通过技术创新、跨学科协作、制度保障三重路径，推动模拟结果与政策实践深度融合，最终实现公共治理的精准化、高效化与公平化。</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r>
        <w:separator/>
      </w:r>
    </w:p>
  </w:footnote>
  <w:footnote w:type="continuationSeparator" w:id="19">
    <w:p>
      <w:r>
        <w:continuationSeparator/>
      </w:r>
    </w:p>
  </w:footnote>
  <w:footnote w:id="0">
    <w:p w14:paraId="1947A65C">
      <w:pPr>
        <w:pStyle w:val="8"/>
        <w:snapToGrid w:val="0"/>
        <w:rPr>
          <w:rFonts w:hint="eastAsia" w:ascii="宋体" w:hAnsi="宋体" w:eastAsia="宋体" w:cs="宋体"/>
          <w:lang w:val="en-US" w:eastAsia="zh-CN"/>
        </w:rPr>
      </w:pPr>
      <w:r>
        <w:rPr>
          <w:rStyle w:val="13"/>
        </w:rPr>
        <w:footnoteRef/>
      </w:r>
      <w:r>
        <w:t xml:space="preserve"> </w:t>
      </w:r>
      <w:r>
        <w:rPr>
          <w:rFonts w:hint="eastAsia"/>
        </w:rPr>
        <w:t>The Science and Information (SAI) Organization. Integrating ABM and GIS for Flood Evacuation Planning: A Systematic Review and Future Direction[J]. International Journal of Advanced Computer Science and Applications, 2026, 17(2): 191-205.</w:t>
      </w:r>
    </w:p>
  </w:footnote>
  <w:footnote w:id="1">
    <w:p w14:paraId="52944CC1">
      <w:pPr>
        <w:pStyle w:val="8"/>
        <w:snapToGrid w:val="0"/>
      </w:pPr>
      <w:r>
        <w:rPr>
          <w:rStyle w:val="13"/>
        </w:rPr>
        <w:footnoteRef/>
      </w:r>
      <w:r>
        <w:t xml:space="preserve"> </w:t>
      </w:r>
      <w:r>
        <w:rPr>
          <w:rFonts w:hint="eastAsia"/>
        </w:rPr>
        <w:t>Li Y, et al. What Makes LLM Agent Simulations Useful for Policy Practice? An Iterative Design Study in Emergency Preparedness[J]. arXiv preprint arXiv:2509.21868v2, 2026.</w:t>
      </w:r>
    </w:p>
  </w:footnote>
  <w:footnote w:id="2">
    <w:p w14:paraId="48BD9260">
      <w:pPr>
        <w:pStyle w:val="8"/>
        <w:snapToGrid w:val="0"/>
      </w:pPr>
      <w:r>
        <w:rPr>
          <w:rStyle w:val="13"/>
        </w:rPr>
        <w:footnoteRef/>
      </w:r>
      <w:r>
        <w:t xml:space="preserve"> </w:t>
      </w:r>
      <w:r>
        <w:rPr>
          <w:rFonts w:hint="eastAsia"/>
        </w:rPr>
        <w:t>Brown A, et al. Policy Simulation with Multi-Agent Systems: A Cross-National Comparison[J]. Journal of Policy Analysis and Management, 2025, 44(3): 892-915.</w:t>
      </w:r>
    </w:p>
  </w:footnote>
  <w:footnote w:id="3">
    <w:p w14:paraId="5D981CE7">
      <w:pPr>
        <w:pStyle w:val="8"/>
        <w:snapToGrid w:val="0"/>
      </w:pPr>
      <w:r>
        <w:rPr>
          <w:rStyle w:val="13"/>
        </w:rPr>
        <w:footnoteRef/>
      </w:r>
      <w:r>
        <w:t xml:space="preserve"> </w:t>
      </w:r>
      <w:r>
        <w:rPr>
          <w:rFonts w:hint="eastAsia"/>
        </w:rPr>
        <w:t>Zhang L, et al. Reinforcement Learning-Enhanced ABM for Dynamic Disaster Resource Allocation[J]. IEEE Transactions on Engineering Management, 2026, 73(4): 1567-1580.</w:t>
      </w:r>
    </w:p>
  </w:footnote>
  <w:footnote w:id="4">
    <w:p w14:paraId="50D382A2">
      <w:pPr>
        <w:pStyle w:val="8"/>
        <w:snapToGrid w:val="0"/>
      </w:pPr>
      <w:r>
        <w:rPr>
          <w:rStyle w:val="13"/>
        </w:rPr>
        <w:footnoteRef/>
      </w:r>
      <w:r>
        <w:t xml:space="preserve"> </w:t>
      </w:r>
      <w:r>
        <w:rPr>
          <w:rFonts w:hint="eastAsia"/>
        </w:rPr>
        <w:t>Ji J, et al. SRAP-Agent: Simulating and Optimizing Scarce Resource Allocation Policy with LLM-based Agent[C]. Findings of EMNLP, 2026.</w:t>
      </w:r>
    </w:p>
  </w:footnote>
  <w:footnote w:id="5">
    <w:p w14:paraId="11470738">
      <w:pPr>
        <w:pStyle w:val="8"/>
        <w:snapToGrid w:val="0"/>
      </w:pPr>
      <w:r>
        <w:rPr>
          <w:rStyle w:val="13"/>
        </w:rPr>
        <w:footnoteRef/>
      </w:r>
      <w:r>
        <w:t xml:space="preserve"> </w:t>
      </w:r>
      <w:r>
        <w:rPr>
          <w:rFonts w:hint="eastAsia"/>
        </w:rPr>
        <w:t>清华大学电子系城市科学与计算中心。大型社会模拟器 AgentSociety，推动智能社会治理与研究范式变革</w:t>
      </w:r>
    </w:p>
  </w:footnote>
  <w:footnote w:id="6">
    <w:p w14:paraId="4C23756A">
      <w:pPr>
        <w:pStyle w:val="8"/>
        <w:snapToGrid w:val="0"/>
      </w:pPr>
      <w:r>
        <w:rPr>
          <w:rStyle w:val="13"/>
        </w:rPr>
        <w:footnoteRef/>
      </w:r>
      <w:r>
        <w:t xml:space="preserve"> </w:t>
      </w:r>
      <w:r>
        <w:rPr>
          <w:rFonts w:hint="eastAsia"/>
        </w:rPr>
        <w:t>北京大学武汉人工智能研究院，北京通用人工智能研究院。我国首个通用人工智能大型社会模拟器发布 [EB/OL]. 新华网，2025-03-31.</w:t>
      </w:r>
    </w:p>
  </w:footnote>
  <w:footnote w:id="7">
    <w:p w14:paraId="467A5860">
      <w:pPr>
        <w:pStyle w:val="8"/>
        <w:snapToGrid w:val="0"/>
      </w:pPr>
      <w:r>
        <w:rPr>
          <w:rStyle w:val="13"/>
        </w:rPr>
        <w:footnoteRef/>
      </w:r>
      <w:r>
        <w:t xml:space="preserve"> </w:t>
      </w:r>
      <w:r>
        <w:rPr>
          <w:rFonts w:hint="eastAsia"/>
        </w:rPr>
        <w:t>孙潇潇, 黄弘, 李瑞奇. 基于多智能体的突发事件下城市应急管理机制仿真. 清华大学学报(自然科学版), 2021, 61(1): 70-76.</w:t>
      </w:r>
    </w:p>
  </w:footnote>
  <w:footnote w:id="8">
    <w:p w14:paraId="23350756">
      <w:pPr>
        <w:pStyle w:val="8"/>
        <w:snapToGrid w:val="0"/>
      </w:pPr>
      <w:r>
        <w:rPr>
          <w:rStyle w:val="13"/>
        </w:rPr>
        <w:footnoteRef/>
      </w:r>
      <w:r>
        <w:t xml:space="preserve"> </w:t>
      </w:r>
      <w:r>
        <w:rPr>
          <w:rFonts w:hint="eastAsia"/>
        </w:rPr>
        <w:t>王晨，李娟，张明. Agent-based Modelling of Urban Rainstorm Flood Disaster Early Warning Strategy Simulation [J]. 地球信息科学学报，2025, 27 (11): 2018-2029.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88" w:hanging="288"/>
      </w:pPr>
      <w:rPr>
        <w:rFonts w:hint="default"/>
        <w:color w:val="auto"/>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1">
    <w:nsid w:val="29D3E2FE"/>
    <w:multiLevelType w:val="singleLevel"/>
    <w:tmpl w:val="29D3E2FE"/>
    <w:lvl w:ilvl="0" w:tentative="0">
      <w:start w:val="1"/>
      <w:numFmt w:val="decimal"/>
      <w:lvlText w:val="%1."/>
      <w:lvlJc w:val="left"/>
      <w:pPr>
        <w:ind w:left="425" w:hanging="425"/>
      </w:pPr>
      <w:rPr>
        <w:rFonts w:hint="default"/>
      </w:rPr>
    </w:lvl>
  </w:abstractNum>
  <w:abstractNum w:abstractNumId="2">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1"/>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footnotePr>
    <w:footnote w:id="18"/>
    <w:footnote w:id="19"/>
  </w:footnotePr>
  <w:compat>
    <w:useFELayout/>
    <w:compatSetting w:name="compatibilityMode" w:uri="http://schemas.microsoft.com/office/word" w:val="15"/>
  </w:compat>
  <w:rsids>
    <w:rsidRoot w:val="00000000"/>
    <w:rsid w:val="33ED05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5317</Words>
  <Characters>7449</Characters>
  <TotalTime>95</TotalTime>
  <ScaleCrop>false</ScaleCrop>
  <LinksUpToDate>false</LinksUpToDate>
  <CharactersWithSpaces>7919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2026-03-19T07:17:00Z</dcterms:created>
  <dc:creator>Un-named</dc:creator>
  <cp:lastModifiedBy>北境之王</cp:lastModifiedBy>
  <dcterms:modified xsi:type="dcterms:W3CDTF">2026-03-19T08:53:29Z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eyJoZGlkIjoiN2IxMzJhNzJjNzNkNTkyYWI1YmFkOWEyNzM3YTVlZjAiLCJ1c2VySWQiOiI5MDk3NzYzMzAifQ==</vt:lpwstr>
  </property>
  <property fmtid="{D5CDD505-2E9C-101B-9397-08002B2CF9AE}" pid="3" name="KSOProductBuildVer">
    <vt:lpwstr>2052-12.1.0.25225</vt:lpwstr>
  </property>
  <property fmtid="{D5CDD505-2E9C-101B-9397-08002B2CF9AE}" pid="4" name="ICV">
    <vt:lpwstr>1FFF9CB1ADF8406C87FC9CCE8DA23B7B_12</vt:lpwstr>
  </property>
</Properties>
</file>