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FFCA93">
      <w:pPr>
        <w:pStyle w:val="3"/>
        <w:keepNext w:val="0"/>
        <w:keepLines w:val="0"/>
        <w:pageBreakBefore w:val="0"/>
        <w:widowControl/>
        <w:suppressLineNumbers w:val="0"/>
        <w:kinsoku/>
        <w:wordWrap/>
        <w:overflowPunct/>
        <w:topLinePunct w:val="0"/>
        <w:autoSpaceDE/>
        <w:autoSpaceDN/>
        <w:bidi w:val="0"/>
        <w:adjustRightInd/>
        <w:snapToGrid/>
        <w:spacing w:line="400" w:lineRule="exact"/>
        <w:ind w:left="0" w:firstLine="0"/>
        <w:jc w:val="center"/>
        <w:textAlignment w:val="auto"/>
        <w:rPr>
          <w:rStyle w:val="11"/>
          <w:rFonts w:hint="eastAsia" w:ascii="方正小标宋简体" w:hAnsi="方正小标宋简体" w:eastAsia="方正小标宋简体" w:cs="方正小标宋简体"/>
          <w:b/>
          <w:i w:val="0"/>
          <w:iCs w:val="0"/>
          <w:caps w:val="0"/>
          <w:color w:val="000000"/>
          <w:spacing w:val="0"/>
          <w:sz w:val="32"/>
          <w:szCs w:val="32"/>
          <w:highlight w:val="none"/>
          <w:u w:val="none"/>
          <w:lang w:val="en-US" w:eastAsia="zh-CN"/>
        </w:rPr>
      </w:pPr>
      <w:r>
        <w:rPr>
          <w:rStyle w:val="11"/>
          <w:rFonts w:hint="eastAsia" w:ascii="方正小标宋简体" w:hAnsi="方正小标宋简体" w:eastAsia="方正小标宋简体" w:cs="方正小标宋简体"/>
          <w:b/>
          <w:i w:val="0"/>
          <w:iCs w:val="0"/>
          <w:caps w:val="0"/>
          <w:color w:val="000000"/>
          <w:spacing w:val="0"/>
          <w:sz w:val="32"/>
          <w:szCs w:val="32"/>
          <w:highlight w:val="none"/>
          <w:u w:val="none"/>
          <w:lang w:val="en-US" w:eastAsia="zh-CN"/>
        </w:rPr>
        <w:t>预见性治理：基于智能体建模（ABM）的气象危机协同应对研究综述</w:t>
      </w:r>
    </w:p>
    <w:p w14:paraId="38E540C9">
      <w:pPr>
        <w:rPr>
          <w:rFonts w:hint="eastAsia"/>
          <w:lang w:val="en-US" w:eastAsia="zh-CN"/>
        </w:rPr>
      </w:pPr>
    </w:p>
    <w:p w14:paraId="5E33F577">
      <w:pPr>
        <w:pStyle w:val="3"/>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88" w:lineRule="auto"/>
        <w:textAlignment w:val="auto"/>
        <w:outlineLvl w:val="2"/>
        <w:rPr>
          <w:rFonts w:hint="eastAsia" w:ascii="仿宋_GB2312" w:hAnsi="仿宋_GB2312" w:eastAsia="仿宋_GB2312" w:cs="仿宋_GB2312"/>
          <w:b w:val="0"/>
          <w:bCs w:val="0"/>
          <w:sz w:val="24"/>
          <w:szCs w:val="24"/>
          <w:highlight w:val="none"/>
          <w:lang w:val="en-US" w:eastAsia="zh-CN"/>
        </w:rPr>
      </w:pPr>
      <w:r>
        <w:rPr>
          <w:rStyle w:val="11"/>
          <w:rFonts w:hint="eastAsia" w:asciiTheme="majorEastAsia" w:hAnsiTheme="majorEastAsia" w:eastAsiaTheme="majorEastAsia" w:cstheme="majorEastAsia"/>
          <w:b/>
          <w:i w:val="0"/>
          <w:iCs w:val="0"/>
          <w:caps w:val="0"/>
          <w:color w:val="000000"/>
          <w:spacing w:val="0"/>
          <w:sz w:val="24"/>
          <w:szCs w:val="24"/>
          <w:highlight w:val="none"/>
          <w:u w:val="none"/>
          <w:lang w:val="en-US" w:eastAsia="zh-CN"/>
        </w:rPr>
        <w:t>一、</w:t>
      </w:r>
      <w:r>
        <w:rPr>
          <w:rFonts w:ascii="宋体" w:hAnsi="宋体" w:eastAsia="宋体" w:cs="宋体"/>
          <w:sz w:val="24"/>
          <w:szCs w:val="24"/>
        </w:rPr>
        <w:t>引言：气象危机下的“非线性”挑战</w:t>
      </w:r>
    </w:p>
    <w:p w14:paraId="3CE3C7BE">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p>
    <w:p w14:paraId="2FB34B40">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在数智化治理的时代背景下，全球气候极端化已成为人类社会面临的最严峻挑战之一。台风、暴雨、干旱等气象危机，早已不再是单纯的自然科学命题，而是演变为耦合了地理环境、基础设施运行与社会心理行为的复合型治理难题（Roukounis et al., 2025）。</w:t>
      </w:r>
    </w:p>
    <w:p w14:paraId="40C32427">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p>
    <w:p w14:paraId="56023223">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而传统公共政策研究与风险管理范式，在应对此类危机时，正面临着深刻的 “非线性” 适配困境</w:t>
      </w:r>
      <w:r>
        <w:rPr>
          <w:rFonts w:hint="eastAsia" w:ascii="仿宋_GB2312" w:hAnsi="仿宋_GB2312" w:eastAsia="仿宋_GB2312" w:cs="仿宋_GB2312"/>
          <w:b w:val="0"/>
          <w:bCs w:val="0"/>
          <w:sz w:val="24"/>
          <w:szCs w:val="24"/>
          <w:highlight w:val="none"/>
          <w:lang w:val="en-US" w:eastAsia="zh-CN"/>
        </w:rPr>
        <w:t>：微小的初始扰动可能引发系统级连锁反应，个体行为差异会汇聚成不可预测的集体 “涌现” 现象，政策输入与治理结果不再呈现稳定、均匀、可直接推算的比例关系，传统线性治理范式因此频繁失效。</w:t>
      </w:r>
    </w:p>
    <w:p w14:paraId="13994B50">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p>
    <w:p w14:paraId="5A9B06E9">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长期以来，气象应急管理多依赖中心化的宏观统计数据，这种传统线性范式隐含了 “代表性主体” 与 “完全理性” 的核心假设，默认疏散方案、节水指令等政策要求，可通过科层制体系实现预设的线性传导（王国成等，2023）。但在现实场景中，社会系统是由大量具备异质性偏好的主体构成的复杂适应系统（CAS）。危机来袭时，个体对风险的感知并非整齐划一，而是受自身财务状况、信息渠道及社交网络 “同伴效应” 的多重约束；这种微观层面的差异化决策与动态互动，往往会引发系统层面的 “涌现” 特征，最终导致政策实施效果与预期目标产生显著偏差，甚至在局部演变为不可控的连锁反应（Mishra et al., 2025；Wang et al., 2025）。</w:t>
      </w:r>
    </w:p>
    <w:p w14:paraId="6BC72BEE">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p>
    <w:p w14:paraId="4E5C9586">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面对气象不确定性带来的治理困境，社会科学研究亟需实现方法论的转型。基于主体的建模（Agent-Based Modeling，以下简称 ABM），为破解这一 “非线性” 矛盾提供了全新的分析框架。ABM 突破了传统模型对 “平均人” 的同质化抽象，通过在虚拟空间内构建具有自主决策能力的异质性智能体，模拟其在地理网格与市场环境中的动态博弈过程。这种自下而上的生成式研究路径，不仅能为决策者提供可重复、无破坏性的 “计算实验” 沙盒，更能穿透信息迷雾，预判政策实施全生命周期的演化逻辑（王国成等，2023；Huo et al., 2025）</w:t>
      </w:r>
      <w:r>
        <w:rPr>
          <w:rFonts w:hint="eastAsia" w:ascii="仿宋_GB2312" w:hAnsi="仿宋_GB2312" w:eastAsia="仿宋_GB2312" w:cs="仿宋_GB2312"/>
          <w:b w:val="0"/>
          <w:bCs w:val="0"/>
          <w:sz w:val="24"/>
          <w:szCs w:val="24"/>
          <w:highlight w:val="none"/>
          <w:lang w:val="en-US" w:eastAsia="zh-CN"/>
        </w:rPr>
        <w:t>。</w:t>
      </w:r>
    </w:p>
    <w:p w14:paraId="78127DE3">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p>
    <w:p w14:paraId="33E1CF9D">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本文旨在系统综述国内外 ABM 在气象危机治理中的应用进展，探讨如何依托数智化手段，构建更具韧性、更精准的预见性治理范式。</w:t>
      </w:r>
    </w:p>
    <w:p w14:paraId="24A956F9">
      <w:pPr>
        <w:rPr>
          <w:rStyle w:val="11"/>
          <w:rFonts w:hint="eastAsia" w:asciiTheme="majorEastAsia" w:hAnsiTheme="majorEastAsia" w:eastAsiaTheme="majorEastAsia" w:cstheme="majorEastAsia"/>
          <w:b/>
          <w:i w:val="0"/>
          <w:iCs w:val="0"/>
          <w:caps w:val="0"/>
          <w:color w:val="000000"/>
          <w:spacing w:val="0"/>
          <w:sz w:val="24"/>
          <w:szCs w:val="24"/>
          <w:highlight w:val="none"/>
          <w:u w:val="none"/>
          <w:lang w:val="en-US" w:eastAsia="zh-CN"/>
        </w:rPr>
      </w:pPr>
      <w:bookmarkStart w:id="0" w:name="_GoBack"/>
      <w:bookmarkEnd w:id="0"/>
    </w:p>
    <w:p w14:paraId="08F86F76">
      <w:pPr>
        <w:rPr>
          <w:rStyle w:val="11"/>
          <w:rFonts w:hint="eastAsia" w:asciiTheme="majorEastAsia" w:hAnsiTheme="majorEastAsia" w:eastAsiaTheme="majorEastAsia" w:cstheme="majorEastAsia"/>
          <w:b/>
          <w:i w:val="0"/>
          <w:iCs w:val="0"/>
          <w:caps w:val="0"/>
          <w:color w:val="000000"/>
          <w:spacing w:val="0"/>
          <w:sz w:val="24"/>
          <w:szCs w:val="24"/>
          <w:highlight w:val="none"/>
          <w:u w:val="none"/>
          <w:lang w:val="en-US" w:eastAsia="zh-CN"/>
        </w:rPr>
      </w:pPr>
      <w:r>
        <w:rPr>
          <w:rStyle w:val="11"/>
          <w:rFonts w:hint="eastAsia" w:asciiTheme="majorEastAsia" w:hAnsiTheme="majorEastAsia" w:eastAsiaTheme="majorEastAsia" w:cstheme="majorEastAsia"/>
          <w:b/>
          <w:i w:val="0"/>
          <w:iCs w:val="0"/>
          <w:caps w:val="0"/>
          <w:color w:val="000000"/>
          <w:spacing w:val="0"/>
          <w:sz w:val="24"/>
          <w:szCs w:val="24"/>
          <w:highlight w:val="none"/>
          <w:u w:val="none"/>
          <w:lang w:val="en-US" w:eastAsia="zh-CN"/>
        </w:rPr>
        <w:t>二、国内外应用版图：从“单兵作战”到“系统集成”</w:t>
      </w:r>
    </w:p>
    <w:p w14:paraId="2D0FE340">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p>
    <w:p w14:paraId="4B90D9B9">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当前，ABM 在气象危机治理领域的应用，已完成从单一领域行为模拟向跨学科、多尺度系统集成的演进。梳理近年国内外代表性研究可见，ABM 的核心价值已从单纯刻画微观主体的行为规则，延伸为连接物理空间、经济市场与社会心理的跨系统分析纽带。</w:t>
      </w:r>
    </w:p>
    <w:p w14:paraId="44446216">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p>
    <w:p w14:paraId="6BED7454">
      <w:pPr>
        <w:keepNext w:val="0"/>
        <w:keepLines w:val="0"/>
        <w:pageBreakBefore w:val="0"/>
        <w:widowControl w:val="0"/>
        <w:numPr>
          <w:ilvl w:val="0"/>
          <w:numId w:val="1"/>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国外研究：气候韧性与多物理场耦合的深化</w:t>
      </w:r>
    </w:p>
    <w:p w14:paraId="5791450D">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p>
    <w:p w14:paraId="3C4AA276">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国外相关研究起步较早，核心特征是将 ABM 深度嵌入地理信息系统（GIS）与长期气候演变场景，重点探索 “长期气候压力 — 人类适应行为” 的闭环反馈机制，主要形成两大成熟应用方向。一是空间精细化模拟与生态适应行为研究。Roukounis 等（2025）开发的 CRes-ABM 模型，通过集成高分辨率地理网格，模拟了地中海沿海社区在海平面上升威胁下的搬迁决策；Monlezun 等（2025）则通过 ABM 捕捉了降水变率对牧场生产力的非线性影响，验证了该方法在大规模自然环境约束下，模拟个体长期生存策略演化的有效性。二是基础设施网络与资源调配的系统优化。Mishra 等（2025）将 ABM 应用于城市能源转型领域，厘清了 “能源公民” 在极端天气下的电力需求响应规律；Uddin 等（2025）通过 CCUS-agent 模型，完成了全美 5000 多个排放源与封存点的运输路径优化。此类研究均基于电网、交通网等复杂物理网络，通过模拟海量智能体的动态博弈过程，锁定资源最优配置方案。</w:t>
      </w:r>
    </w:p>
    <w:p w14:paraId="074AD7AD">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p>
    <w:p w14:paraId="2C3A09DD">
      <w:pPr>
        <w:keepNext w:val="0"/>
        <w:keepLines w:val="0"/>
        <w:pageBreakBefore w:val="0"/>
        <w:widowControl w:val="0"/>
        <w:numPr>
          <w:ilvl w:val="0"/>
          <w:numId w:val="1"/>
        </w:numPr>
        <w:kinsoku/>
        <w:wordWrap/>
        <w:overflowPunct/>
        <w:topLinePunct w:val="0"/>
        <w:autoSpaceDE/>
        <w:autoSpaceDN/>
        <w:bidi w:val="0"/>
        <w:adjustRightInd/>
        <w:snapToGrid/>
        <w:spacing w:beforeAutospacing="0" w:afterAutospacing="0" w:line="288" w:lineRule="auto"/>
        <w:ind w:left="0" w:leftChars="0" w:firstLine="0" w:firstLineChars="0"/>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国内研究：政策仿真实验与高密度治理的探索</w:t>
      </w:r>
    </w:p>
    <w:p w14:paraId="08B6EFBA">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leftChars="0"/>
        <w:textAlignment w:val="auto"/>
        <w:rPr>
          <w:rFonts w:hint="default" w:ascii="仿宋_GB2312" w:hAnsi="仿宋_GB2312" w:eastAsia="仿宋_GB2312" w:cs="仿宋_GB2312"/>
          <w:b w:val="0"/>
          <w:bCs w:val="0"/>
          <w:sz w:val="24"/>
          <w:szCs w:val="24"/>
          <w:highlight w:val="none"/>
          <w:lang w:val="en-US" w:eastAsia="zh-CN"/>
        </w:rPr>
      </w:pPr>
    </w:p>
    <w:p w14:paraId="60A4DFB9">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国内近年的相关研究具有鲜明的公共管理实证导向，核心聚焦高密度城市治理场景下的政策效能预判与社会行为响应模拟，形成了两条清晰的核心研究脉络。一是方法论体系构建与民生治理场景落地。王国成等（2023）系统提出的 “计算 + ABM” 方法体系，为国内公共政策研究从定性描述向生成式实验转型搭建了顶层框架；王好芳等（2025）以青岛为实证对象，通过构建 “四象限行为逻辑矩阵”，完成了干旱预警下居民节水政策效果的微观精准推演，凸显了国内研究面向民生治理的实用主义特征。二是宏观经济稳定与城市韧性提升的政策仿真。Huo 等（2025）通过 ABM 分析了能效政策对宏观经济稳定性的长效影响；杨勇等（2023）从多边平台视角，利用 ABM 验证了优化人才生态环境这一间接政策，在提升城市韧性上的显著优势；Wang 等（2025）则通过强化学习模拟电碳市场中异质性企业的博弈行为，厘清了极端环境下市场价格震荡的微观诱因。</w:t>
      </w:r>
    </w:p>
    <w:p w14:paraId="49FB3001">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p>
    <w:p w14:paraId="31C5E1DB">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3. 演进小结：从领域独立迈向生态集成</w:t>
      </w:r>
    </w:p>
    <w:p w14:paraId="4DE9A61C">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p>
    <w:p w14:paraId="5B21F1A9">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综合国内外研究态势，可清晰识别出二者的地域差异与核心共性。地域差异上，国外研究更偏向长周期、强空间耦合的自然适应性模拟，国内研究则更聚焦短周期、强政策反馈的社会管理仿真。而二者的演进方向高度统一，均已从 “单兵作战” 的局部场景模型，向 “系统集成” 的数字孪生生态跃迁。这种集成化的发展范式，不仅大幅提升了模型对气象危机复杂系统的解释力，也为构建科学化、透明化的公共管理决策体系奠定了数智化基础。</w:t>
      </w:r>
    </w:p>
    <w:p w14:paraId="42FFC857">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eastAsia" w:ascii="仿宋_GB2312" w:hAnsi="仿宋_GB2312" w:eastAsia="仿宋_GB2312" w:cs="仿宋_GB2312"/>
          <w:b w:val="0"/>
          <w:bCs w:val="0"/>
          <w:sz w:val="24"/>
          <w:szCs w:val="24"/>
          <w:highlight w:val="none"/>
          <w:lang w:val="en-US" w:eastAsia="zh-CN"/>
        </w:rPr>
      </w:pPr>
    </w:p>
    <w:p w14:paraId="0E6C4164">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eastAsia" w:ascii="仿宋_GB2312" w:hAnsi="仿宋_GB2312" w:eastAsia="仿宋_GB2312" w:cs="仿宋_GB2312"/>
          <w:b w:val="0"/>
          <w:bCs w:val="0"/>
          <w:sz w:val="24"/>
          <w:szCs w:val="24"/>
          <w:highlight w:val="none"/>
          <w:lang w:val="en-US" w:eastAsia="zh-CN"/>
        </w:rPr>
      </w:pPr>
    </w:p>
    <w:p w14:paraId="7FD639D6">
      <w:pPr>
        <w:rPr>
          <w:rStyle w:val="11"/>
          <w:rFonts w:hint="eastAsia" w:asciiTheme="majorEastAsia" w:hAnsiTheme="majorEastAsia" w:eastAsiaTheme="majorEastAsia" w:cstheme="majorEastAsia"/>
          <w:b/>
          <w:i w:val="0"/>
          <w:iCs w:val="0"/>
          <w:caps w:val="0"/>
          <w:color w:val="000000"/>
          <w:spacing w:val="0"/>
          <w:sz w:val="24"/>
          <w:szCs w:val="24"/>
          <w:highlight w:val="none"/>
          <w:u w:val="none"/>
          <w:lang w:val="en-US" w:eastAsia="zh-CN"/>
        </w:rPr>
      </w:pPr>
      <w:r>
        <w:rPr>
          <w:rStyle w:val="11"/>
          <w:rFonts w:hint="eastAsia" w:asciiTheme="majorEastAsia" w:hAnsiTheme="majorEastAsia" w:eastAsiaTheme="majorEastAsia" w:cstheme="majorEastAsia"/>
          <w:b/>
          <w:i w:val="0"/>
          <w:iCs w:val="0"/>
          <w:caps w:val="0"/>
          <w:color w:val="000000"/>
          <w:spacing w:val="0"/>
          <w:sz w:val="24"/>
          <w:szCs w:val="24"/>
          <w:highlight w:val="none"/>
          <w:u w:val="none"/>
          <w:lang w:val="en-US" w:eastAsia="zh-CN"/>
        </w:rPr>
        <w:t>三、智能体如何解决气象危机的核心矛盾？</w:t>
      </w:r>
    </w:p>
    <w:p w14:paraId="294CAC6F">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eastAsia" w:ascii="仿宋_GB2312" w:hAnsi="仿宋_GB2312" w:eastAsia="仿宋_GB2312" w:cs="仿宋_GB2312"/>
          <w:b w:val="0"/>
          <w:bCs w:val="0"/>
          <w:sz w:val="24"/>
          <w:szCs w:val="24"/>
          <w:highlight w:val="none"/>
          <w:lang w:val="en-US" w:eastAsia="zh-CN"/>
        </w:rPr>
      </w:pPr>
    </w:p>
    <w:p w14:paraId="79845C15">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eastAsia"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气象危机治理的本质，是对 “社会 — 生态 — 经济” 高度耦合的复杂系统进行动态调控。传统治理模型在极端气象的不确定性面前频繁失灵，核心症结在于无法破解系统内部的非线性反馈难题。前文梳理的国内外应用实践表明，ABM 通过引入具备自主决策与认知能力的智能体，形成从微观到宏观的全链条破局路径，精准解决了传统范式无法应对的三大核心矛盾。</w:t>
      </w:r>
    </w:p>
    <w:p w14:paraId="34F5B7A2">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eastAsia" w:ascii="仿宋_GB2312" w:hAnsi="仿宋_GB2312" w:eastAsia="仿宋_GB2312" w:cs="仿宋_GB2312"/>
          <w:b w:val="0"/>
          <w:bCs w:val="0"/>
          <w:sz w:val="24"/>
          <w:szCs w:val="24"/>
          <w:highlight w:val="none"/>
          <w:lang w:val="en-US" w:eastAsia="zh-CN"/>
        </w:rPr>
      </w:pPr>
    </w:p>
    <w:p w14:paraId="06AC02FA">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eastAsia"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1. 社交网络互动与避险决策滞后的矛盾</w:t>
      </w:r>
    </w:p>
    <w:p w14:paraId="2CF6ABB0">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eastAsia" w:ascii="仿宋_GB2312" w:hAnsi="仿宋_GB2312" w:eastAsia="仿宋_GB2312" w:cs="仿宋_GB2312"/>
          <w:b w:val="0"/>
          <w:bCs w:val="0"/>
          <w:sz w:val="24"/>
          <w:szCs w:val="24"/>
          <w:highlight w:val="none"/>
          <w:lang w:val="en-US" w:eastAsia="zh-CN"/>
        </w:rPr>
      </w:pPr>
    </w:p>
    <w:p w14:paraId="33407B58">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eastAsia"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气象预警的治理效能，最终取决于民众是否能及时响应并采取避险行为，而行为决策的核心变量，是预警信息在社会网络中的非线性消纳与反馈。传统模型通常默认信息传递是均匀、线性的，忽略了个体决策深受社交网络 “同伴效应” 驱动的核心特征，最终导致预警发布与行为落地之间出现严重滞后，甚至出现反向的恐慌性聚集（Mishra et al., 2025）。针对这一痛点，新一代 ABM 通过集成大语言模型（Large Language Model，LLM），赋予智能体类人的风险感知与逻辑推理能力，突破了传统模型对 “同质化主体” 的抽象假设。Zhang 等（2025）的研究证实，搭载 LLM 决策模块的智能体，不再是简单接收政策指令的被动节点，而是能结合自身背景、社交圈层信息与社交媒体舆论，对预警信息完成多维度判别。这一技术升级让模型能精准还原危机场景下民众避险行为的心理阈值，帮助治理者快速识别 “信息孤岛” 中的脆弱群体，进而优化预警分级发布策略，真正跨越从 “信息触达” 到 “行为采纳” 的认知鸿沟。</w:t>
      </w:r>
    </w:p>
    <w:p w14:paraId="4CBB3EA7">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eastAsia" w:ascii="仿宋_GB2312" w:hAnsi="仿宋_GB2312" w:eastAsia="仿宋_GB2312" w:cs="仿宋_GB2312"/>
          <w:b w:val="0"/>
          <w:bCs w:val="0"/>
          <w:sz w:val="24"/>
          <w:szCs w:val="24"/>
          <w:highlight w:val="none"/>
          <w:lang w:val="en-US" w:eastAsia="zh-CN"/>
        </w:rPr>
      </w:pPr>
    </w:p>
    <w:p w14:paraId="0A9F7078">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eastAsia"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2. 极端冲击场景与资源调度挤兑的矛盾</w:t>
      </w:r>
    </w:p>
    <w:p w14:paraId="2B38DCCA">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eastAsia" w:ascii="仿宋_GB2312" w:hAnsi="仿宋_GB2312" w:eastAsia="仿宋_GB2312" w:cs="仿宋_GB2312"/>
          <w:b w:val="0"/>
          <w:bCs w:val="0"/>
          <w:sz w:val="24"/>
          <w:szCs w:val="24"/>
          <w:highlight w:val="none"/>
          <w:lang w:val="en-US" w:eastAsia="zh-CN"/>
        </w:rPr>
      </w:pPr>
    </w:p>
    <w:p w14:paraId="38C83FE5">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eastAsia"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台风、暴雨、寒潮等突发性气象危机，往往伴随电力、交通、供水等关键基础设施的级联失效，而传统静态调度模型，无法预判多主体在极端压力下的博弈行为与非理性决策。Wang 等（2025）的研究证实，市场主体的异质性偏好（如套利型与避险型的决策差异），是极端气象冲击下资源市场价格震荡、供需挤兑的深层动因；传统 “全覆盖、无差别” 的应急调度模式，反而容易加剧恐慌性囤积与资源错配，甚至引发系统性瘫痪。ABM 通过引入强化学习（Reinforcement Learning，RL）驱动的自适应决策机制，为这一矛盾提供了核心解决方案。搭载 RL 模块的智能体，可通过与危机环境的反复 “试错” 博弈，自主学习极端场景下的最优避险路径与资源调配方案。在电力保供、应急物资调度、电碳市场稳定等场景的压力测试中，治理者可通过 ABM 预演不同强度气象冲击下，金融杠杆、企业经营与民生需求之间的连锁反应（Huo et al., 2025）。这种 “目标驱动、自主学习” 的智能仿真体系，让应急资源调度从盲目的 “大水漫灌” 转向精准的 “重点加固”，从根源上规避恐慌性决策引发的系统性风险。</w:t>
      </w:r>
    </w:p>
    <w:p w14:paraId="430DDD2D">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eastAsia" w:ascii="仿宋_GB2312" w:hAnsi="仿宋_GB2312" w:eastAsia="仿宋_GB2312" w:cs="仿宋_GB2312"/>
          <w:b w:val="0"/>
          <w:bCs w:val="0"/>
          <w:sz w:val="24"/>
          <w:szCs w:val="24"/>
          <w:highlight w:val="none"/>
          <w:lang w:val="en-US" w:eastAsia="zh-CN"/>
        </w:rPr>
      </w:pPr>
    </w:p>
    <w:p w14:paraId="3D677DB4">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eastAsia"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3. “人地关系” 空间耦合与政策长效性的矛盾</w:t>
      </w:r>
    </w:p>
    <w:p w14:paraId="53195A5F">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eastAsia" w:ascii="仿宋_GB2312" w:hAnsi="仿宋_GB2312" w:eastAsia="仿宋_GB2312" w:cs="仿宋_GB2312"/>
          <w:b w:val="0"/>
          <w:bCs w:val="0"/>
          <w:sz w:val="24"/>
          <w:szCs w:val="24"/>
          <w:highlight w:val="none"/>
          <w:lang w:val="en-US" w:eastAsia="zh-CN"/>
        </w:rPr>
      </w:pPr>
    </w:p>
    <w:p w14:paraId="5B34F61A">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eastAsia"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气象危机具有极强的地域分异特征，海平面上升、干旱、洪涝等灾害的影响，与地理区位、生态本底、人口分布高度绑定，而政府的长期气候治理目标，与微观主体的短期生存、发展利益往往存在天然冲突。传统 “一刀切” 的治理政策，往往忽略了 “人地关系” 的空间耦合特性，导致政策落地出现严重的 “空间错位”，长效治理目标难以达成。Roukounis 等（2025）与 Monlezun 等（2025）的研究均证实，只有将主体决策模型置于 100m 级的真实高分辨率地理网格中，才能精准捕捉气象灾害影响下主体行为的动态轨迹。ABM 通过构建 “政策沙盒”，实现了气象治理政策全生命周期的时空耦合仿真，彻底破解了这一核心矛盾（王国成等，2023）。在干旱引发的水资源危机治理中，王好芳等（2025）通过 ABM 内嵌的行为逻辑矩阵，精准揭示了阶梯水价政策对不同用水动机居民的差异化影响，为差异化节水政策设计提供了量化支撑；杨勇等（2023）则从城市系统韧性视角，利用 ABM 识别出优化城市公共服务生态的间接政策，在提升气象灾害应对长效韧性上的显著优越性。这种时空精准匹配的仿真模式，让气象治理从 “一刀切” 的静态管理，进化为具备微观动态反馈的自适应治理范式。</w:t>
      </w:r>
    </w:p>
    <w:p w14:paraId="4BAC5FB5">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eastAsia" w:ascii="仿宋_GB2312" w:hAnsi="仿宋_GB2312" w:eastAsia="仿宋_GB2312" w:cs="仿宋_GB2312"/>
          <w:b w:val="0"/>
          <w:bCs w:val="0"/>
          <w:sz w:val="24"/>
          <w:szCs w:val="24"/>
          <w:highlight w:val="none"/>
          <w:lang w:val="en-US" w:eastAsia="zh-CN"/>
        </w:rPr>
      </w:pPr>
    </w:p>
    <w:p w14:paraId="51C044E2">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eastAsia"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上述三大矛盾的破解，形成了 ABM 赋能气象危机治理的完整逻辑链条：从微观个体的行为认知纠偏，到中观系统的资源调度优化，再到宏观政策的长效适配，彻底打破了传统线性治理范式的局限。ABM 的核心价值，不仅是提供了一套高精度的仿真工具，更是重构了 “自下而上” 的治理底层逻辑，让气象危机治理从被动响应转向主动预判，为后续预见性治理范式的构建奠定了核心方法论基础。</w:t>
      </w:r>
    </w:p>
    <w:p w14:paraId="0314E5AE">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eastAsia" w:ascii="仿宋_GB2312" w:hAnsi="仿宋_GB2312" w:eastAsia="仿宋_GB2312" w:cs="仿宋_GB2312"/>
          <w:b w:val="0"/>
          <w:bCs w:val="0"/>
          <w:sz w:val="24"/>
          <w:szCs w:val="24"/>
          <w:highlight w:val="none"/>
          <w:lang w:val="en-US" w:eastAsia="zh-CN"/>
        </w:rPr>
      </w:pPr>
    </w:p>
    <w:p w14:paraId="65E236F9">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p>
    <w:p w14:paraId="79D5C1F8">
      <w:pPr>
        <w:rPr>
          <w:rStyle w:val="11"/>
          <w:rFonts w:hint="eastAsia" w:asciiTheme="majorEastAsia" w:hAnsiTheme="majorEastAsia" w:eastAsiaTheme="majorEastAsia" w:cstheme="majorEastAsia"/>
          <w:b/>
          <w:i w:val="0"/>
          <w:iCs w:val="0"/>
          <w:caps w:val="0"/>
          <w:color w:val="000000"/>
          <w:spacing w:val="0"/>
          <w:sz w:val="24"/>
          <w:szCs w:val="24"/>
          <w:highlight w:val="none"/>
          <w:u w:val="none"/>
          <w:lang w:val="en-US" w:eastAsia="zh-CN"/>
        </w:rPr>
      </w:pPr>
      <w:r>
        <w:rPr>
          <w:rStyle w:val="11"/>
          <w:rFonts w:hint="eastAsia" w:asciiTheme="majorEastAsia" w:hAnsiTheme="majorEastAsia" w:eastAsiaTheme="majorEastAsia" w:cstheme="majorEastAsia"/>
          <w:b/>
          <w:i w:val="0"/>
          <w:iCs w:val="0"/>
          <w:caps w:val="0"/>
          <w:color w:val="000000"/>
          <w:spacing w:val="0"/>
          <w:sz w:val="24"/>
          <w:szCs w:val="24"/>
          <w:highlight w:val="none"/>
          <w:u w:val="none"/>
          <w:lang w:val="en-US" w:eastAsia="zh-CN"/>
        </w:rPr>
        <w:br w:type="page"/>
      </w:r>
    </w:p>
    <w:p w14:paraId="73035CF7">
      <w:pPr>
        <w:widowControl w:val="0"/>
        <w:numPr>
          <w:ilvl w:val="0"/>
          <w:numId w:val="0"/>
        </w:numPr>
        <w:ind w:leftChars="0"/>
        <w:jc w:val="both"/>
        <w:rPr>
          <w:rStyle w:val="11"/>
          <w:rFonts w:hint="eastAsia" w:asciiTheme="majorEastAsia" w:hAnsiTheme="majorEastAsia" w:eastAsiaTheme="majorEastAsia" w:cstheme="majorEastAsia"/>
          <w:b/>
          <w:i w:val="0"/>
          <w:iCs w:val="0"/>
          <w:caps w:val="0"/>
          <w:color w:val="000000"/>
          <w:spacing w:val="0"/>
          <w:sz w:val="24"/>
          <w:szCs w:val="24"/>
          <w:highlight w:val="none"/>
          <w:u w:val="none"/>
          <w:lang w:val="en-US" w:eastAsia="zh-CN"/>
        </w:rPr>
      </w:pPr>
      <w:r>
        <w:rPr>
          <w:rStyle w:val="11"/>
          <w:rFonts w:hint="eastAsia" w:asciiTheme="majorEastAsia" w:hAnsiTheme="majorEastAsia" w:eastAsiaTheme="majorEastAsia" w:cstheme="majorEastAsia"/>
          <w:b/>
          <w:i w:val="0"/>
          <w:iCs w:val="0"/>
          <w:caps w:val="0"/>
          <w:color w:val="000000"/>
          <w:spacing w:val="0"/>
          <w:sz w:val="24"/>
          <w:szCs w:val="24"/>
          <w:highlight w:val="none"/>
          <w:u w:val="none"/>
          <w:lang w:val="en-US" w:eastAsia="zh-CN"/>
        </w:rPr>
        <w:t>四、数智时代 ABM 治理的挑战与局限</w:t>
      </w:r>
    </w:p>
    <w:p w14:paraId="6E4E05A0">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p>
    <w:p w14:paraId="26B955A3">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前文已验证，ABM 通过重构自下而上的分析框架，成功破解了传统气象治理的三大核心矛盾，推动应急管理从事后响应向事前预判转型。随着大语言模型、强化学习等 AI 技术的融入，ABM 正完成从 “简单逻辑规则驱动” 向 “深度认知决策驱动” 的范式跃迁，但其在迈向 “全方位预见性治理” 的过程中，仍面临从基础数据、运行效率到治理伦理的全链条挑战。正如王国成等（2023）所强调，数智时代公共政策研究的深化，必须建立在对技术工具局限性的清醒认知之上。</w:t>
      </w:r>
    </w:p>
    <w:p w14:paraId="5B39A0FE">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p>
    <w:p w14:paraId="1C069B86">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1. 基础层瓶颈：“数据孤岛” 与微观参数校验的困境</w:t>
      </w:r>
    </w:p>
    <w:p w14:paraId="6240BF5F">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p>
    <w:p w14:paraId="075DE95C">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ABM 仿真精度的核心前提，是对异质性主体行为规则的精准刻画，这需要高颗粒度、高完整性的微观个体数据作为底层支撑。但在气象灾害这类极端场景中，个体的风险心理偏好、应急决策轨迹具有强隐私性、强动态性，难以通过常规统计手段完整、精准获取，形成了制约模型发展的核心 “数据孤岛”。王好芳等（2025）在居民节水政策仿真研究中明确提出，ABM 模型参数的校准与有效性验证，高度依赖历史行为数据的完整性。若缺乏高质量的微观实证数据支撑，仅靠同质化假设与逻辑推演填充模型，ABM 极易沦为 “黑盒” 式的空想推演，出现 “垃圾进，垃圾出” 的系统性偏差，最终导致政策仿真结果与现实治理场景严重脱节，失去决策参考价值。</w:t>
      </w:r>
    </w:p>
    <w:p w14:paraId="40F92078">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p>
    <w:p w14:paraId="07A23C70">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2. 运行层约束：超大规模仿真与计算资源消耗的矛盾</w:t>
      </w:r>
    </w:p>
    <w:p w14:paraId="35012A26">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p>
    <w:p w14:paraId="12050C72">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随着 ABM 在气象治理中的应用从局部场景模拟向全系统集成升级，智能体的数量规模、交互规则复杂度均大幅提升，直接带来算力需求的几何级增长，形成了 “仿真精度” 与 “决策时效性” 的核心矛盾。对于暴雨、山洪、台风等突发性强、应急响应窗口期极短的气象危机，治理决策需要在极短时间内完成多场景、多主体的仿真迭代与方案对冲。但 Zhang 等（2025）的研究证实，随着智能体数量的增加、交互规则的复杂化（如引入 LLM 决策大脑），模型对算力的需求会呈指数级上升。当前的计算性能，难以支撑数千万量级智能体的实时并行运算与多情境模拟，这一 “计算滞后” 的约束，使得 ABM 目前更多应用于事前的政策评估与场景预演，难以直接嵌入实时应急指挥调度体系。</w:t>
      </w:r>
    </w:p>
    <w:p w14:paraId="5FEA0621">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p>
    <w:p w14:paraId="7AA22783">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3. 应用层困境：模型透明度与算法伦理的博弈</w:t>
      </w:r>
    </w:p>
    <w:p w14:paraId="73C9EB65">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p>
    <w:p w14:paraId="1421C709">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强化学习、生成式 AI 技术的融入，在大幅提升智能体自主决策能力的同时，也导致模型决策过程的可解释性持续下降，形成了 “模型智能化” 与 “治理透明度” 的核心博弈，这也是 ABM 深度嵌入公共治理体系的最大制度性障碍。气象危机治理直接关系公共安全、民生保障与资源公平分配，救灾资源调配、应急疏散路径规划、管控政策制定等核心决策，均涉及广泛的公共利益。Mishra 等（2025）指出，在极端天气下的能源市场博弈仿真中，算法的自主演化可能产生超出预设框架的决策偏差。若治理端完全依赖 “算法推荐” 制定应急方案，一旦模型出现认知偏见或决策失灵，其责任归属、伦理正当性都将面临严峻的制度与社会挑战。如何在保持模型智能化水平的同时，守住治理逻辑的可解释性与透明度，是未来研究必须攻克的核心难题。</w:t>
      </w:r>
    </w:p>
    <w:p w14:paraId="58E97F47">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p>
    <w:p w14:paraId="5EA9EB85">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p>
    <w:p w14:paraId="579B5FBC">
      <w:pPr>
        <w:rPr>
          <w:rStyle w:val="11"/>
          <w:rFonts w:hint="eastAsia" w:asciiTheme="majorEastAsia" w:hAnsiTheme="majorEastAsia" w:eastAsiaTheme="majorEastAsia" w:cstheme="majorEastAsia"/>
          <w:b/>
          <w:i w:val="0"/>
          <w:iCs w:val="0"/>
          <w:caps w:val="0"/>
          <w:color w:val="000000"/>
          <w:spacing w:val="0"/>
          <w:sz w:val="24"/>
          <w:szCs w:val="24"/>
          <w:highlight w:val="none"/>
          <w:u w:val="none"/>
          <w:lang w:val="en-US" w:eastAsia="zh-CN"/>
        </w:rPr>
      </w:pPr>
      <w:r>
        <w:rPr>
          <w:rStyle w:val="11"/>
          <w:rFonts w:hint="eastAsia" w:asciiTheme="majorEastAsia" w:hAnsiTheme="majorEastAsia" w:eastAsiaTheme="majorEastAsia" w:cstheme="majorEastAsia"/>
          <w:b/>
          <w:i w:val="0"/>
          <w:iCs w:val="0"/>
          <w:caps w:val="0"/>
          <w:color w:val="000000"/>
          <w:spacing w:val="0"/>
          <w:sz w:val="24"/>
          <w:szCs w:val="24"/>
          <w:highlight w:val="none"/>
          <w:u w:val="none"/>
          <w:lang w:val="en-US" w:eastAsia="zh-CN"/>
        </w:rPr>
        <w:t>五、结论与治理启示</w:t>
      </w:r>
    </w:p>
    <w:p w14:paraId="4AA8D86A">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p>
    <w:p w14:paraId="1C08067E">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通过对国内外基于主体建模（ABM）在气象危机治理中应用研究的系统梳理，可以发现，ABM 不仅是一种高精度的仿真工具，更是一种理解复杂社会系统“涌现”规律的新思维范式。在应对极端不确定性的气象挑战时，ABM 成功弥合了微观个体决策与宏观政策目标之间的断裂。基于前文的文献综述与实证分析，本文提出以下三点治理启示：</w:t>
      </w:r>
    </w:p>
    <w:p w14:paraId="7AA6C108">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p>
    <w:p w14:paraId="6C2ADA37">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1. 治理重心转型：从 “工程韧性” 向 “社会 - 物理耦合韧性” 升级</w:t>
      </w:r>
    </w:p>
    <w:p w14:paraId="2216FE86">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p>
    <w:p w14:paraId="65399C7B">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气象危机的治理效能，从来不取决于单一物理防御设施的硬性加固，而在于社会系统与物理基础设施系统的协同响应能力。Uddin 等（2025）与 Roukounis 等（2025）的研究均证实，当交通、能源、水利等关键基础设施网络，与人类危机下的避险行为、决策偏好深度耦合时，系统整体呈现的抗冲击韧性，远比单一工程系统的运行逻辑更为复杂。</w:t>
      </w:r>
    </w:p>
    <w:p w14:paraId="54C77214">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p>
    <w:p w14:paraId="11E2B5A2">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这一结论的核心治理启示在于，政府在推进气象防灾减灾基建投入的同时，必须同步构建基于 ABM 仿真的社会行为引导与风险预判机制。通过 ABM 模拟不同气象冲击场景下的人群流动、资源供需波动与基础设施级联失效风险，提前识别并加固可能引发系统性崩溃的 “社会脆弱节点”，而非仅聚焦物理设施的强度提升，最终实现从 “被动防灾” 向 “主动韧性” 的治理跨越。</w:t>
      </w:r>
    </w:p>
    <w:p w14:paraId="14617D19">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p>
    <w:p w14:paraId="20640701">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2. 政策范式升级：提升政策设计的 “颗粒度” 与 “动态自适应性”</w:t>
      </w:r>
    </w:p>
    <w:p w14:paraId="0660C8BE">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p>
    <w:p w14:paraId="2D3ABAE4">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传统 “一刀切” 式的行政指令，在利益诉求、风险偏好高度异质化的现代社会中，始终面临政策落地效能衰减的核心困境。王好芳等（2025）与杨勇等（2023）的研究均验证，不同特征、不同决策偏好的主体，对同一气象治理政策的响应存在显著的非线性差异，同质化的政策设计极易引发资源错配与治理偏差。</w:t>
      </w:r>
    </w:p>
    <w:p w14:paraId="5F0E48CD">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p>
    <w:p w14:paraId="4926D3EE">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对此，治理端需推动政策设计从 “普适性方案” 向 “差异化激励” 转型。依托 ABM 构建的 “政策沙盒”，在虚拟环境中开展不同政策工具、政策组合的仿真实验，提前厘清阶梯定价、行政管制、补贴激励等工具的效能边界与适用场景，预判政策全生命周期的落地效果。这种基于 “计算实验” 的精准施策模式，能够让气象治理方案在动态变化的危机场景中实现自适应调整，从根源上规避政策僵化引发的社会摩擦与资源浪费。</w:t>
      </w:r>
    </w:p>
    <w:p w14:paraId="29D18862">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p>
    <w:p w14:paraId="2B303181">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3. 数智体系构建：驱动 “预测性治理” 向 “预见性治理” 的范式跃迁</w:t>
      </w:r>
    </w:p>
    <w:p w14:paraId="1ADF74D5">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p>
    <w:p w14:paraId="719DD3F8">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随着大语言模型、强化学习等 AI 技术与 ABM 的深度融合，气象危机治理正迎来全新的数智化范式变革。王国成等（2023）与 Zhang 等（2025）的研究，已勾勒出未来治理的核心蓝图：即依托具备深度认知能力的智能体，构建可实时互动、多场景迭代的 “决策支持沙盒”。</w:t>
      </w:r>
    </w:p>
    <w:p w14:paraId="224C8128">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p>
    <w:p w14:paraId="17E144D2">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对此，相关治理部门应加快推进集成实时气象监测、社交媒体舆情感知、地理信息系统与 ABM 仿真引擎的一体化数字孪生治理平台建设。区别于仅能预判灾害发生概率的 “预测性治理”，这种基于 ABM 的 “预见性治理”，能够让决策者在灾害发生前，就在虚拟环境中完成成千上万次的应急方案演练与风险对冲，提前锁定最优决策路径。同时，平台建设需同步破解算法透明度与伦理合规难题，建立算法可解释、责任可追溯的治理机制，守住技术赋能公共治理的伦理底线，最终在瞬息万变的气象危机中牢牢把握决策主动权，全面提升社会治理的科学性与普惠性。</w:t>
      </w:r>
    </w:p>
    <w:p w14:paraId="47CD8487">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p>
    <w:p w14:paraId="312F63DC">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综上，ABM 为破解气象危机的非线性治理困境提供了核心方法论支撑，而技术工具的价值最终要落地于治理范式的升级。唯有兼顾技术创新与治理适配，才能真正构建起具备全周期韧性、全维度精准的气象危机治理体系，从容应对全球气候极端化带来的长期挑战。</w:t>
      </w:r>
    </w:p>
    <w:p w14:paraId="19FD1DCF">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p>
    <w:p w14:paraId="681C8CC5">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eastAsia" w:ascii="仿宋_GB2312" w:hAnsi="仿宋_GB2312" w:eastAsia="仿宋_GB2312" w:cs="仿宋_GB2312"/>
          <w:b w:val="0"/>
          <w:bCs w:val="0"/>
          <w:sz w:val="24"/>
          <w:szCs w:val="24"/>
          <w:highlight w:val="none"/>
          <w:lang w:val="en-US" w:eastAsia="zh-CN"/>
        </w:rPr>
      </w:pPr>
    </w:p>
    <w:p w14:paraId="44173989">
      <w:pPr>
        <w:rPr>
          <w:rStyle w:val="11"/>
          <w:rFonts w:hint="eastAsia" w:asciiTheme="majorEastAsia" w:hAnsiTheme="majorEastAsia" w:eastAsiaTheme="majorEastAsia" w:cstheme="majorEastAsia"/>
          <w:b/>
          <w:i w:val="0"/>
          <w:iCs w:val="0"/>
          <w:caps w:val="0"/>
          <w:color w:val="000000"/>
          <w:spacing w:val="0"/>
          <w:sz w:val="24"/>
          <w:szCs w:val="24"/>
          <w:highlight w:val="none"/>
          <w:u w:val="none"/>
          <w:lang w:val="en-US" w:eastAsia="zh-CN"/>
        </w:rPr>
      </w:pPr>
      <w:r>
        <w:rPr>
          <w:rStyle w:val="11"/>
          <w:rFonts w:hint="eastAsia" w:asciiTheme="majorEastAsia" w:hAnsiTheme="majorEastAsia" w:eastAsiaTheme="majorEastAsia" w:cstheme="majorEastAsia"/>
          <w:b/>
          <w:i w:val="0"/>
          <w:iCs w:val="0"/>
          <w:caps w:val="0"/>
          <w:color w:val="000000"/>
          <w:spacing w:val="0"/>
          <w:sz w:val="24"/>
          <w:szCs w:val="24"/>
          <w:highlight w:val="none"/>
          <w:u w:val="none"/>
          <w:lang w:val="en-US" w:eastAsia="zh-CN"/>
        </w:rPr>
        <w:br w:type="page"/>
      </w:r>
    </w:p>
    <w:p w14:paraId="6D0E1F3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88" w:lineRule="auto"/>
        <w:ind w:right="0"/>
        <w:jc w:val="left"/>
        <w:textAlignment w:val="auto"/>
        <w:rPr>
          <w:rStyle w:val="11"/>
          <w:rFonts w:hint="eastAsia" w:asciiTheme="majorEastAsia" w:hAnsiTheme="majorEastAsia" w:eastAsiaTheme="majorEastAsia" w:cstheme="majorEastAsia"/>
          <w:b/>
          <w:i w:val="0"/>
          <w:iCs w:val="0"/>
          <w:caps w:val="0"/>
          <w:color w:val="000000"/>
          <w:spacing w:val="0"/>
          <w:sz w:val="24"/>
          <w:szCs w:val="24"/>
          <w:highlight w:val="none"/>
          <w:u w:val="none"/>
          <w:lang w:val="en-US" w:eastAsia="zh-CN"/>
        </w:rPr>
      </w:pPr>
      <w:r>
        <w:rPr>
          <w:rStyle w:val="11"/>
          <w:rFonts w:hint="eastAsia" w:asciiTheme="majorEastAsia" w:hAnsiTheme="majorEastAsia" w:eastAsiaTheme="majorEastAsia" w:cstheme="majorEastAsia"/>
          <w:b/>
          <w:i w:val="0"/>
          <w:iCs w:val="0"/>
          <w:caps w:val="0"/>
          <w:color w:val="000000"/>
          <w:spacing w:val="0"/>
          <w:sz w:val="24"/>
          <w:szCs w:val="24"/>
          <w:highlight w:val="none"/>
          <w:u w:val="none"/>
          <w:lang w:val="en-US" w:eastAsia="zh-CN"/>
        </w:rPr>
        <w:t>【参考文献】</w:t>
      </w:r>
    </w:p>
    <w:p w14:paraId="4B03EBC5">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p>
    <w:p w14:paraId="22838B30">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[1] 王好芳, 张祎珂, 代晨洋, 等. 基于ABM节水模型的青岛城镇生活需水水价政策仿真分析[J]. 水利经济, 2025, 43(4): 74-82.</w:t>
      </w:r>
    </w:p>
    <w:p w14:paraId="387B4744">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[2] 王国成, 高德华. 基于ABM的公共政策仿真研究进展与方法论启示[J]. 公共管理学报, 2023, 20(2): 116-127, 173.</w:t>
      </w:r>
    </w:p>
    <w:p w14:paraId="4271D887">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[3] 杨勇, 肖伟伟. 城市人才生态系统运行机理与政策仿真研究[J]. 科学学研究, 2023, 41(7): 1197-1210.</w:t>
      </w:r>
    </w:p>
    <w:p w14:paraId="6B2A70A5">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[4] Robin M U, Hilliard J C M R, Thompson J A, et al. Agent-based modeling for multimodal transportation of CO2 for carbon capture, utilization, and storage: CCUS-agent[J]. Applied Energy, 2025, 378.</w:t>
      </w:r>
    </w:p>
    <w:p w14:paraId="3679E7FC">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[5] Mishra S, Lima T, Hellemo L, et al. Agent-based modeling: Insights into consumer behavior, urban dynamics, grid management, and market interactions[J]. Energy Strategy Reviews, 2025, 57.</w:t>
      </w:r>
    </w:p>
    <w:p w14:paraId="61DF0453">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[6] Zhang X, Wang J, Yu C, et al. Agent-based modeling of epidemics: Approaches, applications, and future directions[J]. Technologies, 2025, 13(7).</w:t>
      </w:r>
    </w:p>
    <w:p w14:paraId="719A9260">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[7] Huo C, Mohsin M, Alidamous M. Agent-based modeling of energy efficiency policies: Enhancing sustainable development and economic growth[J]. Energy Strategy Reviews, 2025, 59.</w:t>
      </w:r>
    </w:p>
    <w:p w14:paraId="7034740B">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[8] Monlezun A C, Boone R B, Wagner G, et al. Agent-based modeling as a tool for ecological comanagement of grazing lands[J]. Rangeland Ecology &amp; Management, 2025, 99: 88-101.</w:t>
      </w:r>
    </w:p>
    <w:p w14:paraId="7E0530FF">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[9] Roukouni C N, Chondros M, Tsoukala V K, et al. Agent-based modeling under climate uncertainties: The Coastal Resilience (CRes-ABM) Model[J]. Journal of Geovisualization and Spatial Analysis, 2025, 9(1): 1-20.</w:t>
      </w:r>
    </w:p>
    <w:p w14:paraId="3B4A7EF5">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[10] Wang M, Liu S, Li Z. Agent-based modeling of firm's heterogeneous preferences: Implications for trading and technology adoption in electricity-carbon market[J]. Energy Economics, 2025, 148.</w:t>
      </w:r>
    </w:p>
    <w:p w14:paraId="4D442555">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p>
    <w:p w14:paraId="5A8A2A3C">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p>
    <w:p w14:paraId="4A5855E0">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panose1 w:val="02010601030101010101"/>
    <w:charset w:val="86"/>
    <w:family w:val="auto"/>
    <w:pitch w:val="default"/>
    <w:sig w:usb0="00000001" w:usb1="080E0000" w:usb2="00000000" w:usb3="00000000" w:csb0="00040000" w:csb1="00000000"/>
  </w:font>
  <w:font w:name="仿宋_GB2312">
    <w:panose1 w:val="02010609030101010101"/>
    <w:charset w:val="86"/>
    <w:family w:val="auto"/>
    <w:pitch w:val="default"/>
    <w:sig w:usb0="00000001" w:usb1="080E0000" w:usb2="00000000" w:usb3="00000000" w:csb0="00040000" w:csb1="00000000"/>
    <w:embedRegular r:id="rId1" w:fontKey="{9F3EA31F-77A5-42D4-8F53-D2B426982CCE}"/>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E38974F"/>
    <w:multiLevelType w:val="singleLevel"/>
    <w:tmpl w:val="6E38974F"/>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EwMWIzMjQ1YzFhNTE3Y2U3OTBhNzM3NGJmMmIxZDkifQ=="/>
  </w:docVars>
  <w:rsids>
    <w:rsidRoot w:val="00000000"/>
    <w:rsid w:val="00B71F65"/>
    <w:rsid w:val="01633E9B"/>
    <w:rsid w:val="035C6DF3"/>
    <w:rsid w:val="041D38A1"/>
    <w:rsid w:val="04787C5D"/>
    <w:rsid w:val="04CB4231"/>
    <w:rsid w:val="06563FCE"/>
    <w:rsid w:val="07351E35"/>
    <w:rsid w:val="07C80EFB"/>
    <w:rsid w:val="08365E65"/>
    <w:rsid w:val="09420EF8"/>
    <w:rsid w:val="0AC21C32"/>
    <w:rsid w:val="0AE63019"/>
    <w:rsid w:val="0AEE0C79"/>
    <w:rsid w:val="0BA13F3D"/>
    <w:rsid w:val="0BCB4B16"/>
    <w:rsid w:val="0BF56037"/>
    <w:rsid w:val="0C3C77C2"/>
    <w:rsid w:val="0C50326D"/>
    <w:rsid w:val="0CFB6842"/>
    <w:rsid w:val="0F39623B"/>
    <w:rsid w:val="10BC5375"/>
    <w:rsid w:val="127F665A"/>
    <w:rsid w:val="13826402"/>
    <w:rsid w:val="13904FC3"/>
    <w:rsid w:val="143771ED"/>
    <w:rsid w:val="143F42F3"/>
    <w:rsid w:val="14972381"/>
    <w:rsid w:val="14D032DF"/>
    <w:rsid w:val="15593193"/>
    <w:rsid w:val="1587449F"/>
    <w:rsid w:val="15DB004C"/>
    <w:rsid w:val="1610752A"/>
    <w:rsid w:val="175F0C41"/>
    <w:rsid w:val="17F673BF"/>
    <w:rsid w:val="180A4242"/>
    <w:rsid w:val="1ABF7E03"/>
    <w:rsid w:val="1B281F85"/>
    <w:rsid w:val="1B4D72F6"/>
    <w:rsid w:val="1BBB306A"/>
    <w:rsid w:val="1BFE2CE6"/>
    <w:rsid w:val="1C4526C3"/>
    <w:rsid w:val="1C7C2AAA"/>
    <w:rsid w:val="1D7019C1"/>
    <w:rsid w:val="1DB20AC8"/>
    <w:rsid w:val="1F2E63AC"/>
    <w:rsid w:val="1F816105"/>
    <w:rsid w:val="1F9574BD"/>
    <w:rsid w:val="205729C5"/>
    <w:rsid w:val="20CC62BC"/>
    <w:rsid w:val="211A5ECC"/>
    <w:rsid w:val="21291A37"/>
    <w:rsid w:val="21FE57EE"/>
    <w:rsid w:val="22623FCE"/>
    <w:rsid w:val="22DD3655"/>
    <w:rsid w:val="23C91EC1"/>
    <w:rsid w:val="2436509E"/>
    <w:rsid w:val="24C148B0"/>
    <w:rsid w:val="24DB5972"/>
    <w:rsid w:val="259A38C5"/>
    <w:rsid w:val="26CA2162"/>
    <w:rsid w:val="2716234B"/>
    <w:rsid w:val="271635D9"/>
    <w:rsid w:val="27532138"/>
    <w:rsid w:val="2848051E"/>
    <w:rsid w:val="28B409B4"/>
    <w:rsid w:val="28D9041B"/>
    <w:rsid w:val="2AFC2AE6"/>
    <w:rsid w:val="2CF021D7"/>
    <w:rsid w:val="2CF27F5B"/>
    <w:rsid w:val="2CF75313"/>
    <w:rsid w:val="2D4D13D7"/>
    <w:rsid w:val="2DE0224B"/>
    <w:rsid w:val="2E693FEF"/>
    <w:rsid w:val="2EFCDA93"/>
    <w:rsid w:val="2F266384"/>
    <w:rsid w:val="2F4B2ABA"/>
    <w:rsid w:val="2F5729E1"/>
    <w:rsid w:val="30E43E01"/>
    <w:rsid w:val="317830CA"/>
    <w:rsid w:val="32454D73"/>
    <w:rsid w:val="33B73A4E"/>
    <w:rsid w:val="35366BF5"/>
    <w:rsid w:val="36252EF1"/>
    <w:rsid w:val="36A52284"/>
    <w:rsid w:val="36AE60F4"/>
    <w:rsid w:val="376E5F14"/>
    <w:rsid w:val="37714688"/>
    <w:rsid w:val="38F80D91"/>
    <w:rsid w:val="396106E4"/>
    <w:rsid w:val="397A3554"/>
    <w:rsid w:val="39B62FF5"/>
    <w:rsid w:val="3A683478"/>
    <w:rsid w:val="3B050C7E"/>
    <w:rsid w:val="3CCF3BB7"/>
    <w:rsid w:val="3D7821D8"/>
    <w:rsid w:val="3DDD620F"/>
    <w:rsid w:val="3E082827"/>
    <w:rsid w:val="3FB3156E"/>
    <w:rsid w:val="3FEBF2E7"/>
    <w:rsid w:val="407B249F"/>
    <w:rsid w:val="40BA692C"/>
    <w:rsid w:val="43A01E09"/>
    <w:rsid w:val="43A85162"/>
    <w:rsid w:val="43CC0E50"/>
    <w:rsid w:val="43F6396B"/>
    <w:rsid w:val="45B43170"/>
    <w:rsid w:val="4673762D"/>
    <w:rsid w:val="49A0233B"/>
    <w:rsid w:val="4AF67006"/>
    <w:rsid w:val="4BB723E6"/>
    <w:rsid w:val="4BE44FEB"/>
    <w:rsid w:val="4CAC4C77"/>
    <w:rsid w:val="4D274555"/>
    <w:rsid w:val="4DA93FB0"/>
    <w:rsid w:val="50506965"/>
    <w:rsid w:val="523227C6"/>
    <w:rsid w:val="5257047F"/>
    <w:rsid w:val="52736A2F"/>
    <w:rsid w:val="53D208E5"/>
    <w:rsid w:val="554D5B69"/>
    <w:rsid w:val="55570796"/>
    <w:rsid w:val="55C71477"/>
    <w:rsid w:val="56073F6A"/>
    <w:rsid w:val="582232DD"/>
    <w:rsid w:val="591E49E7"/>
    <w:rsid w:val="593027D2"/>
    <w:rsid w:val="5B743E4F"/>
    <w:rsid w:val="5BA364E3"/>
    <w:rsid w:val="5BC00E43"/>
    <w:rsid w:val="5C8400C2"/>
    <w:rsid w:val="5CCC1A69"/>
    <w:rsid w:val="5DD46E27"/>
    <w:rsid w:val="5E622685"/>
    <w:rsid w:val="5F217E4A"/>
    <w:rsid w:val="60563B24"/>
    <w:rsid w:val="606A3A73"/>
    <w:rsid w:val="61CE3B8D"/>
    <w:rsid w:val="66611474"/>
    <w:rsid w:val="66615DF8"/>
    <w:rsid w:val="66CF4630"/>
    <w:rsid w:val="687A23E9"/>
    <w:rsid w:val="690416E4"/>
    <w:rsid w:val="699A7177"/>
    <w:rsid w:val="69BF4DED"/>
    <w:rsid w:val="6A537326"/>
    <w:rsid w:val="6B144F27"/>
    <w:rsid w:val="6BFD6FE7"/>
    <w:rsid w:val="6C60526A"/>
    <w:rsid w:val="6D5E2269"/>
    <w:rsid w:val="6DE24C48"/>
    <w:rsid w:val="6FC85C67"/>
    <w:rsid w:val="6FE67489"/>
    <w:rsid w:val="702F7EED"/>
    <w:rsid w:val="7049709F"/>
    <w:rsid w:val="70BD6A21"/>
    <w:rsid w:val="72133F6A"/>
    <w:rsid w:val="73117D7E"/>
    <w:rsid w:val="73294477"/>
    <w:rsid w:val="73431DF7"/>
    <w:rsid w:val="74440F40"/>
    <w:rsid w:val="766052A4"/>
    <w:rsid w:val="773504DF"/>
    <w:rsid w:val="780B1240"/>
    <w:rsid w:val="7AAD2A82"/>
    <w:rsid w:val="7BFD5343"/>
    <w:rsid w:val="7CA1635A"/>
    <w:rsid w:val="7E6D67B0"/>
    <w:rsid w:val="7F1430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4">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0">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5">
    <w:name w:val="footnote text"/>
    <w:basedOn w:val="1"/>
    <w:qFormat/>
    <w:uiPriority w:val="0"/>
    <w:pPr>
      <w:snapToGrid w:val="0"/>
      <w:jc w:val="left"/>
    </w:pPr>
    <w:rPr>
      <w:sz w:val="18"/>
    </w:rPr>
  </w:style>
  <w:style w:type="paragraph" w:styleId="6">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7">
    <w:name w:val="Normal (Web)"/>
    <w:basedOn w:val="1"/>
    <w:qFormat/>
    <w:uiPriority w:val="0"/>
    <w:pPr>
      <w:spacing w:before="0" w:beforeAutospacing="1" w:after="0" w:afterAutospacing="1"/>
      <w:ind w:left="0" w:right="0"/>
      <w:jc w:val="left"/>
    </w:pPr>
    <w:rPr>
      <w:kern w:val="0"/>
      <w:sz w:val="24"/>
      <w:lang w:val="en-US" w:eastAsia="zh-CN" w:bidi="ar"/>
    </w:rPr>
  </w:style>
  <w:style w:type="table" w:styleId="9">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Strong"/>
    <w:basedOn w:val="10"/>
    <w:qFormat/>
    <w:uiPriority w:val="0"/>
    <w:rPr>
      <w:b/>
    </w:rPr>
  </w:style>
  <w:style w:type="character" w:styleId="12">
    <w:name w:val="HTML Code"/>
    <w:basedOn w:val="10"/>
    <w:qFormat/>
    <w:uiPriority w:val="0"/>
    <w:rPr>
      <w:rFonts w:ascii="Courier New" w:hAnsi="Courier New"/>
      <w:sz w:val="20"/>
    </w:rPr>
  </w:style>
  <w:style w:type="character" w:styleId="13">
    <w:name w:val="footnote reference"/>
    <w:basedOn w:val="10"/>
    <w:qFormat/>
    <w:uiPriority w:val="0"/>
    <w:rPr>
      <w:vertAlign w:val="superscript"/>
    </w:rPr>
  </w:style>
  <w:style w:type="character" w:customStyle="1" w:styleId="14">
    <w:name w:val="font31"/>
    <w:basedOn w:val="10"/>
    <w:qFormat/>
    <w:uiPriority w:val="0"/>
    <w:rPr>
      <w:rFonts w:ascii="宋体" w:hAnsi="宋体" w:eastAsia="宋体" w:cs="宋体"/>
      <w:b/>
      <w:bCs/>
      <w:color w:val="000000"/>
      <w:sz w:val="38"/>
      <w:szCs w:val="38"/>
      <w:u w:val="none"/>
    </w:rPr>
  </w:style>
  <w:style w:type="character" w:customStyle="1" w:styleId="15">
    <w:name w:val="font41"/>
    <w:basedOn w:val="10"/>
    <w:qFormat/>
    <w:uiPriority w:val="0"/>
    <w:rPr>
      <w:rFonts w:ascii="宋体" w:hAnsi="宋体" w:eastAsia="宋体" w:cs="宋体"/>
      <w:color w:val="000000"/>
      <w:sz w:val="38"/>
      <w:szCs w:val="38"/>
      <w:u w:val="non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ntractReview xmlns="http://schemas.wps.cn/vas-ai-hub/contract-review">
  <reviewItems>
    <reviewItem>
      <errorID>55847341-126a-4cce-8257-6cf7f72b5588</errorID>
      <errorWord>-</errorWord>
      <group>L1_Format</group>
      <groupName>格式问题</groupName>
      <ability>L2_HalfPunc</ability>
      <abilityName>全半角检查</abilityName>
      <candidateList>
        <item>－</item>
      </candidateList>
      <explain>文本全半角错误。</explain>
      <paraID>25F0D372</paraID>
      <start>53</start>
      <end>54</end>
      <status>modified</status>
      <modifiedWord>－</modifiedWord>
      <trackRevisions>false</trackRevisions>
    </reviewItem>
    <reviewItem>
      <errorID>8fb4efce-11c5-43ab-b117-9b7638a00ccb</errorID>
      <errorWord>-</errorWord>
      <group>L1_Format</group>
      <groupName>格式问题</groupName>
      <ability>L2_HalfPunc</ability>
      <abilityName>全半角检查</abilityName>
      <candidateList>
        <item>－</item>
      </candidateList>
      <explain>文本全半角错误。</explain>
      <paraID>25F0D372</paraID>
      <start>56</start>
      <end>57</end>
      <status>modified</status>
      <modifiedWord>－</modifiedWord>
      <trackRevisions>false</trackRevisions>
    </reviewItem>
    <reviewItem>
      <errorID>8be4eb35-076b-4f6c-a378-c38486d4a527</errorID>
      <errorWord>-</errorWord>
      <group>L1_Format</group>
      <groupName>格式问题</groupName>
      <ability>L2_HalfPunc</ability>
      <abilityName>全半角检查</abilityName>
      <candidateList>
        <item>－</item>
      </candidateList>
      <explain>文本全半角错误。</explain>
      <paraID>25F0D372</paraID>
      <start>59</start>
      <end>60</end>
      <status>modified</status>
      <modifiedWord>－</modifiedWord>
      <trackRevisions>false</trackRevisions>
    </reviewItem>
    <reviewItem>
      <errorID>e36da8ee-3e49-4c33-9cfd-c1ab46c61628</errorID>
      <errorWord>里</errorWord>
      <group>L1_Word</group>
      <groupName>字词问题</groupName>
      <ability>L2_Typo</ability>
      <abilityName>字词错误</abilityName>
      <candidateList>
        <item>中</item>
      </candidateList>
      <explain>存在字形相近字词的误用。</explain>
      <paraID> 146EFD9</paraID>
      <start>61</start>
      <end>62</end>
      <status>modified</status>
      <modifiedWord>中</modifiedWord>
      <trackRevisions>false</trackRevisions>
    </reviewItem>
    <reviewItem>
      <errorID>ac6e9087-5a8b-4701-8f80-d5308ad6b1db</errorID>
      <errorWord>里</errorWord>
      <group>L1_Word</group>
      <groupName>字词问题</groupName>
      <ability>L2_Typo</ability>
      <abilityName>字词错误</abilityName>
      <candidateList>
        <item>中</item>
      </candidateList>
      <explain>存在字形相近字词的误用。</explain>
      <paraID> 146EFD9</paraID>
      <start>146</start>
      <end>147</end>
      <status>modified</status>
      <modifiedWord>中</modifiedWord>
      <trackRevisions>false</trackRevisions>
    </reviewItem>
    <reviewItem>
      <errorID>919d56f3-8159-43c1-a920-547a9757b9b2</errorID>
      <errorWord>-</errorWord>
      <group>L1_Format</group>
      <groupName>格式问题</groupName>
      <ability>L2_HalfPunc</ability>
      <abilityName>全半角检查</abilityName>
      <candidateList>
        <item>－</item>
      </candidateList>
      <explain>文本全半角错误。</explain>
      <paraID>11C0722D</paraID>
      <start>228</start>
      <end>229</end>
      <status>modified</status>
      <modifiedWord>－</modifiedWord>
      <trackRevisions>false</trackRevisions>
    </reviewItem>
    <reviewItem>
      <errorID>756b1fe2-b77f-4640-ba0c-f69e26b71350</errorID>
      <errorWord>-</errorWord>
      <group>L1_Format</group>
      <groupName>格式问题</groupName>
      <ability>L2_HalfPunc</ability>
      <abilityName>全半角检查</abilityName>
      <candidateList>
        <item>－</item>
      </candidateList>
      <explain>文本全半角错误。</explain>
      <paraID>11C0722D</paraID>
      <start>231</start>
      <end>232</end>
      <status>modified</status>
      <modifiedWord>－</modifiedWord>
      <trackRevisions>false</trackRevisions>
    </reviewItem>
    <reviewItem>
      <errorID>49f7e375-ab9e-4dbf-befc-bc05d6b51959</errorID>
      <errorWord>-</errorWord>
      <group>L1_Format</group>
      <groupName>格式问题</groupName>
      <ability>L2_HalfPunc</ability>
      <abilityName>全半角检查</abilityName>
      <candidateList>
        <item>－</item>
      </candidateList>
      <explain>文本全半角错误。</explain>
      <paraID>11C0722D</paraID>
      <start>234</start>
      <end>235</end>
      <status>modified</status>
      <modifiedWord>－</modifiedWord>
      <trackRevisions>false</trackRevisions>
    </reviewItem>
    <reviewItem>
      <errorID>41f1dacf-23f0-4ae4-86ad-cb433700e19b</errorID>
      <errorWord>学业成绩成</errorWord>
      <group>L1_Word</group>
      <groupName>字词问题</groupName>
      <ability>L2_Typo</ability>
      <abilityName>字词错误</abilityName>
      <candidateList>
        <item>学业成绩</item>
      </candidateList>
      <explain/>
      <paraID>110716D2</paraID>
      <start>361</start>
      <end>365</end>
      <status>modified</status>
      <modifiedWord>学业成绩</modifiedWord>
      <trackRevisions>false</trackRevisions>
    </reviewItem>
    <reviewItem>
      <errorID>f4a0fec0-e59b-49a1-9cc4-5777947df6a8</errorID>
      <errorWord>-</errorWord>
      <group>L1_Format</group>
      <groupName>格式问题</groupName>
      <ability>L2_HalfPunc</ability>
      <abilityName>全半角检查</abilityName>
      <candidateList>
        <item>－</item>
      </candidateList>
      <explain>文本全半角错误。</explain>
      <paraID> F96F944</paraID>
      <start>19</start>
      <end>20</end>
      <status>modified</status>
      <modifiedWord>－</modifiedWord>
      <trackRevisions>false</trackRevisions>
    </reviewItem>
    <reviewItem>
      <errorID>3a89ec8b-f9ac-4b9d-a652-9b9b6517e0c5</errorID>
      <errorWord>止是</errorWord>
      <group>L1_Word</group>
      <groupName>字词问题</groupName>
      <ability>L2_Typo</ability>
      <abilityName>字词错误</abilityName>
      <candidateList>
        <item>只是</item>
      </candidateList>
      <explain/>
      <paraID> 224CD78</paraID>
      <start>125</start>
      <end>127</end>
      <status>modified</status>
      <modifiedWord>只是</modifiedWord>
      <trackRevisions>false</trackRevisions>
    </reviewItem>
    <reviewItem>
      <errorID>1ac5f7ca-f520-45e0-bbe7-8d4336d25d96</errorID>
      <errorWord>人们</errorWord>
      <group>L1_Word</group>
      <groupName>字词问题</groupName>
      <ability>L2_Typo</ability>
      <abilityName>字词错误</abilityName>
      <candidateList>
        <item>人</item>
      </candidateList>
      <explain>〈名〉❶能制造工具并使用工具进行劳动的高等动物：男～｜女～｜～们｜～类。❷每人；一般人：～手一册｜～所共知。❸指成年人：长大成～。❹指某种人：工～｜军～｜主～｜介绍～。❺别人：～云亦云｜待～诚恳。❻指人的品质、性格或名誉：丢～｜这个同志～很好｜他～老实。❼指人的身体或意识：这两天～不大舒服｜送到医院～已经昏迷过去了。</explain>
      <paraID> D6978DE</paraID>
      <start>210</start>
      <end>211</end>
      <status>modified</status>
      <modifiedWord>人</modifiedWord>
      <trackRevisions>false</trackRevisions>
    </reviewItem>
    <reviewItem>
      <errorID>6714bc05-f30f-45d1-b7ed-7d35874f614c</errorID>
      <errorWord>人尽</errorWord>
      <group>L1_Word</group>
      <groupName>字词问题</groupName>
      <ability>L2_Typo</ability>
      <abilityName>字词错误</abilityName>
      <candidateList>
        <item>尽人</item>
      </candidateList>
      <explain/>
      <paraID> D6978DE</paraID>
      <start>279</start>
      <end>281</end>
      <status>ignored</status>
      <modifiedWord/>
      <trackRevisions>false</trackRevisions>
    </reviewItem>
    <reviewItem>
      <errorID>18584ce1-56b7-4871-898e-9984548fd901</errorID>
      <errorWord>的</errorWord>
      <group>L1_Word</group>
      <groupName>字词问题</groupName>
      <ability>L2_DDD</ability>
      <abilityName>的地得用法</abilityName>
      <candidateList>
        <item>地</item>
      </candidateList>
      <explain>“地”常用于连接修饰语与动词性中心语，表示动作的方式、状态或程度。</explain>
      <paraID>354FB229</paraID>
      <start>99</start>
      <end>100</end>
      <status>ignored</status>
      <modifiedWord/>
      <trackRevisions>false</trackRevisions>
    </reviewItem>
    <reviewItem>
      <errorID>da40b9b0-b58a-4031-8c73-70cec4cf4341</errorID>
      <errorWord>.</errorWord>
      <group>L1_Format</group>
      <groupName>格式问题</groupName>
      <ability>L2_HalfPunc</ability>
      <abilityName>全半角检查</abilityName>
      <candidateList>
        <item>。</item>
      </candidateList>
      <explain>文本全半角错误。</explain>
      <paraID>4574E081</paraID>
      <start>12</start>
      <end>13</end>
      <status>ignored</status>
      <modifiedWord/>
      <trackRevisions>false</trackRevisions>
    </reviewItem>
    <reviewItem>
      <errorID>bef04178-1e78-4592-8574-e37992f48616</errorID>
      <errorWord>"</errorWord>
      <group>L1_Format</group>
      <groupName>格式问题</groupName>
      <ability>L2_HalfPunc</ability>
      <abilityName>全半角检查</abilityName>
      <candidateList>
        <item>“</item>
      </candidateList>
      <explain>文本全半角错误。</explain>
      <paraID>4574E081</paraID>
      <start>16</start>
      <end>17</end>
      <status>modified</status>
      <modifiedWord>“</modifiedWord>
      <trackRevisions>false</trackRevisions>
    </reviewItem>
    <reviewItem>
      <errorID>75b4f357-2299-49ad-9ece-20ab3fc4635c</errorID>
      <errorWord>"</errorWord>
      <group>L1_Format</group>
      <groupName>格式问题</groupName>
      <ability>L2_HalfPunc</ability>
      <abilityName>全半角检查</abilityName>
      <candidateList>
        <item>”</item>
      </candidateList>
      <explain>文本全半角错误。</explain>
      <paraID>4574E081</paraID>
      <start>19</start>
      <end>20</end>
      <status>modified</status>
      <modifiedWord>”</modifiedWord>
      <trackRevisions>false</trackRevisions>
    </reviewItem>
    <reviewItem>
      <errorID>f4ca333e-2087-42c5-91e9-8c53484db39b</errorID>
      <errorWord>,</errorWord>
      <group>L1_Format</group>
      <groupName>格式问题</groupName>
      <ability>L2_HalfPunc</ability>
      <abilityName>全半角检查</abilityName>
      <candidateList>
        <item>，</item>
      </candidateList>
      <explain>文本全半角错误。</explain>
      <paraID>4574E081</paraID>
      <start>42</start>
      <end>43</end>
      <status>ignored</status>
      <modifiedWord/>
      <trackRevisions>false</trackRevisions>
    </reviewItem>
    <reviewItem>
      <errorID>fde68fa3-2225-4c25-a65d-9e7f7c0e089d</errorID>
      <errorWord>,</errorWord>
      <group>L1_Format</group>
      <groupName>格式问题</groupName>
      <ability>L2_HalfPunc</ability>
      <abilityName>全半角检查</abilityName>
      <candidateList>
        <item>，</item>
      </candidateList>
      <explain>文本全半角错误。</explain>
      <paraID>77EE530D</paraID>
      <start>7</start>
      <end>8</end>
      <status>ignored</status>
      <modifiedWord/>
      <trackRevisions>false</trackRevisions>
    </reviewItem>
    <reviewItem>
      <errorID>b9609c63-2b92-4d91-8908-71910581992f</errorID>
      <errorWord>.</errorWord>
      <group>L1_Format</group>
      <groupName>格式问题</groupName>
      <ability>L2_HalfPunc</ability>
      <abilityName>全半角检查</abilityName>
      <candidateList>
        <item>。</item>
      </candidateList>
      <explain>文本全半角错误。</explain>
      <paraID>77EE530D</paraID>
      <start>12</start>
      <end>13</end>
      <status>ignored</status>
      <modifiedWord/>
      <trackRevisions>false</trackRevisions>
    </reviewItem>
    <reviewItem>
      <errorID>97c3bbea-66c6-4799-940f-7cb48e900316</errorID>
      <errorWord>"</errorWord>
      <group>L1_Format</group>
      <groupName>格式问题</groupName>
      <ability>L2_HalfPunc</ability>
      <abilityName>全半角检查</abilityName>
      <candidateList>
        <item>“</item>
      </candidateList>
      <explain>文本全半角错误。</explain>
      <paraID>77EE530D</paraID>
      <start>36</start>
      <end>37</end>
      <status>modified</status>
      <modifiedWord>“</modifiedWord>
      <trackRevisions>false</trackRevisions>
    </reviewItem>
    <reviewItem>
      <errorID>e29b981a-987b-4e74-b59a-bd94bdab8fee</errorID>
      <errorWord>"</errorWord>
      <group>L1_Format</group>
      <groupName>格式问题</groupName>
      <ability>L2_HalfPunc</ability>
      <abilityName>全半角检查</abilityName>
      <candidateList>
        <item>”</item>
      </candidateList>
      <explain>文本全半角错误。</explain>
      <paraID>77EE530D</paraID>
      <start>41</start>
      <end>42</end>
      <status>modified</status>
      <modifiedWord>”</modifiedWord>
      <trackRevisions>false</trackRevisions>
    </reviewItem>
    <reviewItem>
      <errorID>a8b542dd-29df-4339-a649-52137e4db548</errorID>
      <errorWord>,</errorWord>
      <group>L1_Format</group>
      <groupName>格式问题</groupName>
      <ability>L2_HalfPunc</ability>
      <abilityName>全半角检查</abilityName>
      <candidateList>
        <item>，</item>
      </candidateList>
      <explain>文本全半角错误。</explain>
      <paraID>6730400B</paraID>
      <start>7</start>
      <end>8</end>
      <status>ignored</status>
      <modifiedWord/>
      <trackRevisions>false</trackRevisions>
    </reviewItem>
    <reviewItem>
      <errorID>e36a99ef-686b-46c7-8723-88fd2cdd37ff</errorID>
      <errorWord>.</errorWord>
      <group>L1_Format</group>
      <groupName>格式问题</groupName>
      <ability>L2_HalfPunc</ability>
      <abilityName>全半角检查</abilityName>
      <candidateList>
        <item>。</item>
      </candidateList>
      <explain>文本全半角错误。</explain>
      <paraID>6730400B</paraID>
      <start>11</start>
      <end>12</end>
      <status>ignored</status>
      <modifiedWord/>
      <trackRevisions>false</trackRevisions>
    </reviewItem>
    <reviewItem>
      <errorID>9695e3ad-9b20-4ab7-9c25-e2d218747737</errorID>
      <errorWord>"</errorWord>
      <group>L1_Format</group>
      <groupName>格式问题</groupName>
      <ability>L2_HalfPunc</ability>
      <abilityName>全半角检查</abilityName>
      <candidateList>
        <item>“</item>
      </candidateList>
      <explain>文本全半角错误。</explain>
      <paraID>6730400B</paraID>
      <start>13</start>
      <end>14</end>
      <status>modified</status>
      <modifiedWord>“</modifiedWord>
      <trackRevisions>false</trackRevisions>
    </reviewItem>
    <reviewItem>
      <errorID>aa66dd6b-dfa7-454e-b5d8-623fd4fedeea</errorID>
      <errorWord>"</errorWord>
      <group>L1_Format</group>
      <groupName>格式问题</groupName>
      <ability>L2_HalfPunc</ability>
      <abilityName>全半角检查</abilityName>
      <candidateList>
        <item>”</item>
      </candidateList>
      <explain>文本全半角错误。</explain>
      <paraID>6730400B</paraID>
      <start>16</start>
      <end>17</end>
      <status>modified</status>
      <modifiedWord>”</modifiedWord>
      <trackRevisions>false</trackRevisions>
    </reviewItem>
  </reviewItems>
  <config/>
</contractReview>
</file>

<file path=customXml/itemProps1.xml><?xml version="1.0" encoding="utf-8"?>
<ds:datastoreItem xmlns:ds="http://schemas.openxmlformats.org/officeDocument/2006/customXml" ds:itemID="{4be7c0f7-4d67-44fa-87ce-d5a9c92d68d7}">
  <ds:schemaRefs/>
</ds:datastoreItem>
</file>

<file path=docProps/app.xml><?xml version="1.0" encoding="utf-8"?>
<Properties xmlns="http://schemas.openxmlformats.org/officeDocument/2006/extended-properties" xmlns:vt="http://schemas.openxmlformats.org/officeDocument/2006/docPropsVTypes">
  <Template>Normal.dotm</Template>
  <Pages>8</Pages>
  <Words>6401</Words>
  <Characters>7800</Characters>
  <Lines>1</Lines>
  <Paragraphs>1</Paragraphs>
  <TotalTime>118</TotalTime>
  <ScaleCrop>false</ScaleCrop>
  <LinksUpToDate>false</LinksUpToDate>
  <CharactersWithSpaces>8256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2024-04-29T16:37:00Z</dcterms:created>
  <dc:creator>Lenovo</dc:creator>
  <cp:lastModifiedBy>赣北庐陵人</cp:lastModifiedBy>
  <dcterms:modified xsi:type="dcterms:W3CDTF">2026-03-19T11:56:28Z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5D2E3022E8864F5CA6F012A86AC5938B_12</vt:lpwstr>
  </property>
  <property fmtid="{D5CDD505-2E9C-101B-9397-08002B2CF9AE}" pid="4" name="KSOTemplateDocerSaveRecord">
    <vt:lpwstr>eyJoZGlkIjoiYjkyZmNhZmMwYTRkMzdjNDc0ZDBiODA4ZTNmNjg2YzYiLCJ1c2VySWQiOiIxMTY4Mzk1OTQ0In0=</vt:lpwstr>
  </property>
</Properties>
</file>