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CBB35">
      <w:pPr>
        <w:bidi w:val="0"/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  <w:t>Agent智能体在公共管理政策模拟中的应用：文献综述</w:t>
      </w:r>
    </w:p>
    <w:p w14:paraId="41C447A8">
      <w:pPr>
        <w:pStyle w:val="3"/>
        <w:rPr>
          <w:rFonts w:eastAsia="宋体"/>
          <w:sz w:val="28"/>
        </w:rPr>
      </w:pPr>
      <w:r>
        <w:rPr>
          <w:rFonts w:eastAsia="宋体"/>
          <w:sz w:val="28"/>
        </w:rPr>
        <w:t>一、研究背景与核心概念</w:t>
      </w:r>
    </w:p>
    <w:p w14:paraId="264A05AA">
      <w:pPr>
        <w:ind w:firstLine="420" w:firstLineChars="0"/>
        <w:rPr>
          <w:rFonts w:eastAsia="宋体"/>
          <w:sz w:val="28"/>
        </w:rPr>
      </w:pPr>
      <w:r>
        <w:rPr>
          <w:rFonts w:eastAsia="宋体"/>
          <w:sz w:val="28"/>
        </w:rPr>
        <w:t>基于智能体的建模（Agent-Based Modeling, ABM）已成为公共管理领域应对复杂性、异质性和涌现性问题的核心方法论。ABM通过模拟自主智能体（Autonomous Agents）的微观行为及其交互，实现宏观政策效应的"自下而上"推演，有效弥合了微观个体行为与宏观政策结果之间的鸿沟。与传统计量经济学模型不同，ABM能够捕捉异质性主体的适应性学习、非线性互动和路径依赖特征，特别适用于政策干预的"反事实"分析和长期动态评估。</w:t>
      </w:r>
    </w:p>
    <w:p w14:paraId="7732D472">
      <w:pPr>
        <w:pStyle w:val="3"/>
        <w:rPr>
          <w:rFonts w:eastAsia="宋体"/>
          <w:sz w:val="28"/>
        </w:rPr>
      </w:pPr>
      <w:r>
        <w:rPr>
          <w:rFonts w:eastAsia="宋体"/>
          <w:sz w:val="28"/>
        </w:rPr>
        <w:t>二、理论基础：心理学与管理学模型的计算化转译</w:t>
      </w:r>
    </w:p>
    <w:p w14:paraId="3E2A7AD1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2.1 行为决策理论的融合应用</w:t>
      </w:r>
    </w:p>
    <w:p w14:paraId="323B9595">
      <w:pPr>
        <w:ind w:firstLine="420" w:firstLineChars="0"/>
        <w:rPr>
          <w:rFonts w:eastAsia="宋体"/>
          <w:sz w:val="28"/>
        </w:rPr>
      </w:pPr>
      <w:r>
        <w:rPr>
          <w:rFonts w:eastAsia="宋体"/>
          <w:sz w:val="28"/>
        </w:rPr>
        <w:t>当前ABM研究正从</w:t>
      </w:r>
      <w:r>
        <w:rPr>
          <w:rFonts w:eastAsia="宋体"/>
          <w:b/>
          <w:sz w:val="28"/>
        </w:rPr>
        <w:t>完全理性假设</w:t>
      </w:r>
      <w:r>
        <w:rPr>
          <w:rFonts w:eastAsia="宋体"/>
          <w:sz w:val="28"/>
        </w:rPr>
        <w:t>向</w:t>
      </w:r>
      <w:r>
        <w:rPr>
          <w:rFonts w:eastAsia="宋体"/>
          <w:b/>
          <w:sz w:val="28"/>
        </w:rPr>
        <w:t>有限理性与行为现实主义</w:t>
      </w:r>
      <w:r>
        <w:rPr>
          <w:rFonts w:eastAsia="宋体"/>
          <w:sz w:val="28"/>
        </w:rPr>
        <w:t>转型，系统整合行为经济学与社会心理学的经典理论：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tr w14:paraId="6483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</w:trPr>
        <w:tc>
          <w:tcPr>
            <w:tcW w:w="2060" w:type="dxa"/>
            <w:tcMar>
              <w:left w:w="108" w:type="dxa"/>
              <w:right w:w="108" w:type="dxa"/>
            </w:tcMar>
            <w:vAlign w:val="center"/>
          </w:tcPr>
          <w:p w14:paraId="7F072E8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eastAsia="宋体"/>
                <w:b/>
                <w:sz w:val="24"/>
                <w:szCs w:val="22"/>
              </w:rPr>
            </w:pPr>
            <w:r>
              <w:rPr>
                <w:rFonts w:eastAsia="宋体"/>
                <w:b/>
                <w:sz w:val="24"/>
                <w:szCs w:val="22"/>
              </w:rPr>
              <w:t>理论框架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358B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eastAsia="宋体"/>
                <w:b/>
                <w:sz w:val="24"/>
                <w:szCs w:val="22"/>
              </w:rPr>
            </w:pPr>
            <w:r>
              <w:rPr>
                <w:rFonts w:eastAsia="宋体"/>
                <w:b/>
                <w:sz w:val="24"/>
                <w:szCs w:val="22"/>
              </w:rPr>
              <w:t>核心机制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B3813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eastAsia="宋体"/>
                <w:b/>
                <w:sz w:val="24"/>
                <w:szCs w:val="22"/>
              </w:rPr>
            </w:pPr>
            <w:r>
              <w:rPr>
                <w:rFonts w:eastAsia="宋体"/>
                <w:b/>
                <w:sz w:val="24"/>
                <w:szCs w:val="22"/>
              </w:rPr>
              <w:t>计算化实现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1C267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eastAsia="宋体"/>
                <w:b/>
                <w:sz w:val="24"/>
                <w:szCs w:val="22"/>
              </w:rPr>
            </w:pPr>
            <w:r>
              <w:rPr>
                <w:rFonts w:eastAsia="宋体"/>
                <w:b/>
                <w:sz w:val="24"/>
                <w:szCs w:val="22"/>
              </w:rPr>
              <w:t>典型应用场景</w:t>
            </w:r>
          </w:p>
        </w:tc>
      </w:tr>
      <w:tr w14:paraId="3991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17" w:hRule="atLeast"/>
        </w:trPr>
        <w:tc>
          <w:tcPr>
            <w:tcW w:w="2060" w:type="dxa"/>
            <w:tcMar>
              <w:left w:w="108" w:type="dxa"/>
              <w:right w:w="108" w:type="dxa"/>
            </w:tcMar>
            <w:vAlign w:val="center"/>
          </w:tcPr>
          <w:p w14:paraId="4F02CE2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b/>
                <w:sz w:val="24"/>
                <w:szCs w:val="22"/>
              </w:rPr>
              <w:t>期望效用理论（EUT）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4C074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理性效用最大化、风险态度通过效用曲率体现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778D0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主观概率估计、成本-收益计算、时间偏好折现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85AFA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农业保险政策、灾害风险应对</w:t>
            </w:r>
          </w:p>
        </w:tc>
      </w:tr>
      <w:tr w14:paraId="3DAC1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34" w:hRule="atLeast"/>
        </w:trPr>
        <w:tc>
          <w:tcPr>
            <w:tcW w:w="2060" w:type="dxa"/>
            <w:tcMar>
              <w:left w:w="108" w:type="dxa"/>
              <w:right w:w="108" w:type="dxa"/>
            </w:tcMar>
            <w:vAlign w:val="center"/>
          </w:tcPr>
          <w:p w14:paraId="4195AD9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b/>
                <w:sz w:val="24"/>
                <w:szCs w:val="22"/>
              </w:rPr>
              <w:t>前景理论（Prospect Theory）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B7442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参照点依赖、损失厌恶、概率权重非线性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7BB01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价值函数：$v(x)=x^\alpha$（收益）/$v(x)=-\lambda(-x)^\beta$（损失）；决策权重函数：$w(p)=\frac{p^\gamma}{(p^\gamma+(1-p)^\gamma)^{1/\gamma}}$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5FBAF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农民适应行为、公共品供给决策</w:t>
            </w:r>
          </w:p>
        </w:tc>
      </w:tr>
      <w:tr w14:paraId="5920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24" w:hRule="atLeast"/>
        </w:trPr>
        <w:tc>
          <w:tcPr>
            <w:tcW w:w="2060" w:type="dxa"/>
            <w:tcMar>
              <w:left w:w="108" w:type="dxa"/>
              <w:right w:w="108" w:type="dxa"/>
            </w:tcMar>
            <w:vAlign w:val="center"/>
          </w:tcPr>
          <w:p w14:paraId="00DC014E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b/>
                <w:sz w:val="24"/>
                <w:szCs w:val="22"/>
              </w:rPr>
              <w:t>计划行为理论（TPB）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40F438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态度（Attitude）、主观规范（Subjective Norm）、感知行为控制（PBC）→ 行为意向 → 行为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8C6B76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多属性效用函数、社会网络影响权重、自我效能阈值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2E211D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亲环境行为、交通方式选择、技术采纳</w:t>
            </w:r>
          </w:p>
        </w:tc>
      </w:tr>
      <w:tr w14:paraId="2ACE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2" w:hRule="atLeast"/>
        </w:trPr>
        <w:tc>
          <w:tcPr>
            <w:tcW w:w="2060" w:type="dxa"/>
            <w:tcMar>
              <w:left w:w="108" w:type="dxa"/>
              <w:right w:w="108" w:type="dxa"/>
            </w:tcMar>
            <w:vAlign w:val="center"/>
          </w:tcPr>
          <w:p w14:paraId="1ED9596B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b/>
                <w:sz w:val="24"/>
                <w:szCs w:val="22"/>
              </w:rPr>
              <w:t>保护动机理论（PMT）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328A71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威胁评估（概率×严重性）与应对评估（自我效能×反应效能-反应成本）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72F4C3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风险感知模块、应对能力矩阵、成本-收益权衡算法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6FA30B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干旱适应、健康防护行为、灾害准备</w:t>
            </w:r>
          </w:p>
        </w:tc>
      </w:tr>
      <w:tr w14:paraId="72BA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7" w:hRule="atLeast"/>
        </w:trPr>
        <w:tc>
          <w:tcPr>
            <w:tcW w:w="2060" w:type="dxa"/>
            <w:tcMar>
              <w:left w:w="108" w:type="dxa"/>
              <w:right w:w="108" w:type="dxa"/>
            </w:tcMar>
            <w:vAlign w:val="center"/>
          </w:tcPr>
          <w:p w14:paraId="59835E47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b/>
                <w:sz w:val="24"/>
                <w:szCs w:val="22"/>
              </w:rPr>
              <w:t>Consumat框架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E83B1A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整合需求层级、满意-不满足决策模式、认知与情感双路径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232F57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需求满足度计算、重复购买决策规则、社会比较机制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B11DFA">
            <w:pPr>
              <w:rPr>
                <w:rFonts w:eastAsia="宋体"/>
                <w:sz w:val="24"/>
                <w:szCs w:val="22"/>
              </w:rPr>
            </w:pPr>
            <w:r>
              <w:rPr>
                <w:rFonts w:eastAsia="宋体"/>
                <w:sz w:val="24"/>
                <w:szCs w:val="22"/>
              </w:rPr>
              <w:t>消费者行为、资源使用决策</w:t>
            </w:r>
          </w:p>
        </w:tc>
      </w:tr>
    </w:tbl>
    <w:p w14:paraId="1BAD51D8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2.2 理论操作化的关键挑战</w:t>
      </w:r>
    </w:p>
    <w:p w14:paraId="6313DFBA">
      <w:pPr>
        <w:ind w:firstLine="420" w:firstLineChars="0"/>
        <w:rPr>
          <w:rFonts w:eastAsia="宋体"/>
          <w:sz w:val="28"/>
        </w:rPr>
      </w:pPr>
      <w:r>
        <w:rPr>
          <w:rFonts w:eastAsia="宋体"/>
          <w:sz w:val="28"/>
        </w:rPr>
        <w:t>同一理论存在多种</w:t>
      </w:r>
      <w:r>
        <w:rPr>
          <w:rFonts w:eastAsia="宋体"/>
          <w:b/>
          <w:sz w:val="28"/>
        </w:rPr>
        <w:t>形式化实现（Formalization）</w:t>
      </w:r>
      <w:r>
        <w:rPr>
          <w:rFonts w:eastAsia="宋体"/>
          <w:sz w:val="28"/>
        </w:rPr>
        <w:t>路径，导致结果差异。以TPB为例，Schwarz &amp; Ernst模型将社会规范作为效用函数权重，而另一实现（MF模型）则将其作为PBC的调节变量，这种架构差异显著影响技术扩散仿真结果。系统综述显示，仅19%的TPB-ABM研究同时共享模型文档与代码，可重复性危机亟待解决。</w:t>
      </w:r>
    </w:p>
    <w:p w14:paraId="14009E89">
      <w:pPr>
        <w:pStyle w:val="3"/>
        <w:rPr>
          <w:rFonts w:eastAsia="宋体"/>
          <w:sz w:val="28"/>
        </w:rPr>
      </w:pPr>
      <w:r>
        <w:rPr>
          <w:rFonts w:eastAsia="宋体"/>
          <w:sz w:val="28"/>
        </w:rPr>
        <w:t>三、案例分析：跨学科理论融合的典型应用</w:t>
      </w:r>
    </w:p>
    <w:p w14:paraId="076549FC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案例一：农业干旱风险适应行为仿真——多理论对比分析</w:t>
      </w:r>
    </w:p>
    <w:p w14:paraId="75CE93C1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研究背景</w:t>
      </w:r>
      <w:r>
        <w:rPr>
          <w:rFonts w:eastAsia="宋体"/>
          <w:sz w:val="28"/>
        </w:rPr>
        <w:t>：发展中国家小农户面对气候变化的适应决策涉及复杂心理认知过程，传统经济模型难以解释非最优决策现象。</w:t>
      </w:r>
    </w:p>
    <w:p w14:paraId="3F71B3CB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模型设计</w:t>
      </w:r>
      <w:r>
        <w:rPr>
          <w:rFonts w:eastAsia="宋体"/>
          <w:sz w:val="28"/>
        </w:rPr>
        <w:t>（基于Groeneveld等, 2017; Schlüter等, 2017）：</w:t>
      </w:r>
    </w:p>
    <w:p w14:paraId="6FDBF6D0">
      <w:pPr>
        <w:numPr>
          <w:ilvl w:val="0"/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Agent类型</w:t>
      </w:r>
      <w:r>
        <w:rPr>
          <w:rFonts w:eastAsia="宋体"/>
          <w:sz w:val="28"/>
        </w:rPr>
        <w:t>：异质性小农户Agent，属性包括风险偏好、社会资本、信息获取能力</w:t>
      </w:r>
    </w:p>
    <w:p w14:paraId="34C64064">
      <w:pPr>
        <w:numPr>
          <w:ilvl w:val="0"/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理论整合</w:t>
      </w:r>
      <w:r>
        <w:rPr>
          <w:rFonts w:eastAsia="宋体"/>
          <w:sz w:val="28"/>
        </w:rPr>
        <w:t>：</w:t>
      </w:r>
    </w:p>
    <w:p w14:paraId="18187B97">
      <w:pPr>
        <w:numPr>
          <w:ilvl w:val="1"/>
          <w:numId w:val="0"/>
        </w:numPr>
        <w:spacing w:before="0" w:after="0"/>
        <w:ind w:firstLine="420" w:firstLineChars="0"/>
        <w:rPr>
          <w:rFonts w:eastAsia="宋体"/>
          <w:sz w:val="28"/>
        </w:rPr>
      </w:pPr>
      <w:r>
        <w:rPr>
          <w:rFonts w:eastAsia="宋体"/>
          <w:b/>
          <w:sz w:val="28"/>
        </w:rPr>
        <w:t>前景理论模块</w:t>
      </w:r>
      <w:r>
        <w:rPr>
          <w:rFonts w:eastAsia="宋体"/>
          <w:sz w:val="28"/>
        </w:rPr>
        <w:t>：设定参照点为历史平均产量，损失厌恶系数λ=2.25（Kahneman经典值），农户对干旱概率存在系统性低估（概率权重函数γ=0.61）</w:t>
      </w:r>
    </w:p>
    <w:p w14:paraId="430EB50D">
      <w:pPr>
        <w:numPr>
          <w:ilvl w:val="1"/>
          <w:numId w:val="0"/>
        </w:numPr>
        <w:spacing w:before="0" w:after="0"/>
        <w:ind w:firstLine="420" w:firstLineChars="0"/>
        <w:rPr>
          <w:rFonts w:eastAsia="宋体"/>
          <w:sz w:val="28"/>
        </w:rPr>
      </w:pPr>
      <w:r>
        <w:rPr>
          <w:rFonts w:eastAsia="宋体"/>
          <w:b/>
          <w:sz w:val="28"/>
        </w:rPr>
        <w:t>TPB模块</w:t>
      </w:r>
      <w:r>
        <w:rPr>
          <w:rFonts w:eastAsia="宋体"/>
          <w:sz w:val="28"/>
        </w:rPr>
        <w:t>：态度=对适应技术收益的评估；主观规范=村庄内采纳者比例×社会遵从权重；PBC=资金可及性×技术知识水平</w:t>
      </w:r>
    </w:p>
    <w:p w14:paraId="13D16338">
      <w:pPr>
        <w:numPr>
          <w:ilvl w:val="1"/>
          <w:numId w:val="0"/>
        </w:numPr>
        <w:spacing w:before="0" w:after="0"/>
        <w:ind w:firstLine="420" w:firstLineChars="0"/>
        <w:rPr>
          <w:rFonts w:eastAsia="宋体"/>
          <w:sz w:val="28"/>
        </w:rPr>
      </w:pPr>
      <w:r>
        <w:rPr>
          <w:rFonts w:eastAsia="宋体"/>
          <w:b/>
          <w:sz w:val="28"/>
        </w:rPr>
        <w:t>PMT模块</w:t>
      </w:r>
      <w:r>
        <w:rPr>
          <w:rFonts w:eastAsia="宋体"/>
          <w:sz w:val="28"/>
        </w:rPr>
        <w:t>：威胁评估=干旱概率感知×产量损失严重性；应对评估=自我效能（过往成功经验）×反应效能（技术预期效果）- 适应成本</w:t>
      </w:r>
    </w:p>
    <w:p w14:paraId="595326E5">
      <w:pPr>
        <w:numPr>
          <w:ilvl w:val="0"/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决策规则</w:t>
      </w:r>
      <w:r>
        <w:rPr>
          <w:rFonts w:eastAsia="宋体"/>
          <w:sz w:val="28"/>
        </w:rPr>
        <w:t>：采用"满意-搜索"（Satisficing）启发式，当当前策略满意度低于阈值时触发新策略搜索</w:t>
      </w:r>
    </w:p>
    <w:p w14:paraId="757B00FB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关键发现</w:t>
      </w:r>
      <w:r>
        <w:rPr>
          <w:rFonts w:eastAsia="宋体"/>
          <w:sz w:val="28"/>
        </w:rPr>
        <w:t>：</w:t>
      </w:r>
    </w:p>
    <w:p w14:paraId="3324645D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sz w:val="28"/>
        </w:rPr>
        <w:t>纯EUT模型预测适应技术采纳率为45%，而PT-TPB混合模型预测为28%，更接近田野调查数据（26%）</w:t>
      </w:r>
      <w:r>
        <w:rPr>
          <w:rFonts w:hint="eastAsia" w:eastAsia="宋体"/>
          <w:sz w:val="28"/>
          <w:lang w:eastAsia="zh-CN"/>
        </w:rPr>
        <w:t>。</w:t>
      </w:r>
    </w:p>
    <w:p w14:paraId="052253E3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sz w:val="28"/>
        </w:rPr>
        <w:t>损失厌恶导致农户过度依赖传统适应策略（ status quo bias），即使新策略期望收益更高</w:t>
      </w:r>
      <w:r>
        <w:rPr>
          <w:rFonts w:hint="eastAsia" w:eastAsia="宋体"/>
          <w:sz w:val="28"/>
          <w:lang w:eastAsia="zh-CN"/>
        </w:rPr>
        <w:t>。</w:t>
      </w:r>
    </w:p>
    <w:p w14:paraId="369C16B5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sz w:val="28"/>
        </w:rPr>
        <w:t>社会规范在村庄网络密度&gt;0.3时产生非线性放大效应，早期采纳者比例超过15%后触发快速扩散</w:t>
      </w:r>
      <w:r>
        <w:rPr>
          <w:rFonts w:hint="eastAsia" w:eastAsia="宋体"/>
          <w:sz w:val="28"/>
          <w:lang w:eastAsia="zh-CN"/>
        </w:rPr>
        <w:t>。</w:t>
      </w:r>
    </w:p>
    <w:p w14:paraId="027419A4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政策启示</w:t>
      </w:r>
      <w:r>
        <w:rPr>
          <w:rFonts w:eastAsia="宋体"/>
          <w:sz w:val="28"/>
        </w:rPr>
        <w:t>：补贴设计应针对"损失框架"（强调不采纳的损失而非采纳的收益），并通过村庄精英的示范效应突破采纳阈值。</w:t>
      </w:r>
    </w:p>
    <w:p w14:paraId="4636FC84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案例二：组织知识共享行为仿真——计划行为理论与社会网络分析融合</w:t>
      </w:r>
    </w:p>
    <w:p w14:paraId="05A4D362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研究背景</w:t>
      </w:r>
      <w:r>
        <w:rPr>
          <w:rFonts w:eastAsia="宋体"/>
          <w:sz w:val="28"/>
        </w:rPr>
        <w:t>：知识共享是组织创新的核心，但"知识就是权力"的悖论导致共享意愿不足，传统干预措施效果有限。</w:t>
      </w:r>
    </w:p>
    <w:p w14:paraId="7F7EC568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模型设计</w:t>
      </w:r>
      <w:r>
        <w:rPr>
          <w:rFonts w:eastAsia="宋体"/>
          <w:sz w:val="28"/>
        </w:rPr>
        <w:t>（基于Wang等, 2009; Rouchier等, 2014）：</w:t>
      </w:r>
    </w:p>
    <w:p w14:paraId="4E233407">
      <w:pPr>
        <w:numPr>
          <w:ilvl w:val="0"/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多层网络结构</w:t>
      </w:r>
      <w:r>
        <w:rPr>
          <w:rFonts w:eastAsia="宋体"/>
          <w:sz w:val="28"/>
        </w:rPr>
        <w:t>：</w:t>
      </w:r>
    </w:p>
    <w:p w14:paraId="27B39F41">
      <w:pPr>
        <w:numPr>
          <w:ilvl w:val="1"/>
          <w:numId w:val="0"/>
        </w:numPr>
        <w:spacing w:before="0" w:after="0"/>
        <w:ind w:firstLine="420" w:firstLineChars="0"/>
        <w:rPr>
          <w:rFonts w:eastAsia="宋体"/>
          <w:sz w:val="28"/>
        </w:rPr>
      </w:pPr>
      <w:r>
        <w:rPr>
          <w:rFonts w:eastAsia="宋体"/>
          <w:b/>
          <w:sz w:val="28"/>
        </w:rPr>
        <w:t>正式网络</w:t>
      </w:r>
      <w:r>
        <w:rPr>
          <w:rFonts w:eastAsia="宋体"/>
          <w:sz w:val="28"/>
        </w:rPr>
        <w:t>：组织层级结构（汇报关系）</w:t>
      </w:r>
    </w:p>
    <w:p w14:paraId="3D0CDAD9">
      <w:pPr>
        <w:numPr>
          <w:ilvl w:val="1"/>
          <w:numId w:val="0"/>
        </w:numPr>
        <w:spacing w:before="0" w:after="0"/>
        <w:ind w:firstLine="420" w:firstLineChars="0"/>
        <w:rPr>
          <w:rFonts w:eastAsia="宋体"/>
          <w:sz w:val="28"/>
        </w:rPr>
      </w:pPr>
      <w:r>
        <w:rPr>
          <w:rFonts w:eastAsia="宋体"/>
          <w:b/>
          <w:sz w:val="28"/>
        </w:rPr>
        <w:t>非正式网络</w:t>
      </w:r>
      <w:r>
        <w:rPr>
          <w:rFonts w:eastAsia="宋体"/>
          <w:sz w:val="28"/>
        </w:rPr>
        <w:t>：咨询关系、友谊关系（基于ERGM随机图模型生成）</w:t>
      </w:r>
    </w:p>
    <w:p w14:paraId="2F514852">
      <w:pPr>
        <w:numPr>
          <w:ilvl w:val="0"/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TPB操作化</w:t>
      </w:r>
      <w:r>
        <w:rPr>
          <w:rFonts w:eastAsia="宋体"/>
          <w:sz w:val="28"/>
        </w:rPr>
        <w:t>：</w:t>
      </w:r>
    </w:p>
    <w:p w14:paraId="2024444C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态度</w:t>
      </w:r>
      <w:r>
        <w:rPr>
          <w:rFonts w:eastAsia="宋体"/>
          <w:sz w:val="28"/>
        </w:rPr>
        <w:t>：知识共享收益感知（职业晋升帮助×0.3 + 互惠预期×0.4 + 内在满足感×0.3）</w:t>
      </w:r>
      <w:r>
        <w:rPr>
          <w:rFonts w:hint="eastAsia" w:eastAsia="宋体"/>
          <w:sz w:val="28"/>
          <w:lang w:eastAsia="zh-CN"/>
        </w:rPr>
        <w:t>。</w:t>
      </w:r>
    </w:p>
    <w:p w14:paraId="1F668493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主观规范</w:t>
      </w:r>
      <w:r>
        <w:rPr>
          <w:rFonts w:eastAsia="宋体"/>
          <w:sz w:val="28"/>
        </w:rPr>
        <w:t>：直接上级支持度×0.4 + 同事共享规范感知×0.6</w:t>
      </w:r>
      <w:r>
        <w:rPr>
          <w:rFonts w:hint="eastAsia" w:eastAsia="宋体"/>
          <w:sz w:val="28"/>
          <w:lang w:eastAsia="zh-CN"/>
        </w:rPr>
        <w:t>。</w:t>
      </w:r>
    </w:p>
    <w:p w14:paraId="2428AB72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PBC</w:t>
      </w:r>
      <w:r>
        <w:rPr>
          <w:rFonts w:eastAsia="宋体"/>
          <w:sz w:val="28"/>
        </w:rPr>
        <w:t>：共享技术便利性×0.5 + 表达能力自信×0.3 + 时间充裕度×0.2</w:t>
      </w:r>
      <w:r>
        <w:rPr>
          <w:rFonts w:hint="eastAsia" w:eastAsia="宋体"/>
          <w:sz w:val="28"/>
          <w:lang w:eastAsia="zh-CN"/>
        </w:rPr>
        <w:t>。</w:t>
      </w:r>
    </w:p>
    <w:p w14:paraId="7A73E936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行为意向</w:t>
      </w:r>
      <w:r>
        <w:rPr>
          <w:rFonts w:eastAsia="宋体"/>
          <w:sz w:val="28"/>
        </w:rPr>
        <w:t>：$BI = w_1 \cdot ATT + w_2 \cdot SN + w_3 \cdot PBC$，权重通过结构方程模型（SEM）从问卷数据估计</w:t>
      </w:r>
      <w:r>
        <w:rPr>
          <w:rFonts w:hint="eastAsia" w:eastAsia="宋体"/>
          <w:sz w:val="28"/>
          <w:lang w:eastAsia="zh-CN"/>
        </w:rPr>
        <w:t>。</w:t>
      </w:r>
    </w:p>
    <w:p w14:paraId="51735778">
      <w:pPr>
        <w:numPr>
          <w:ilvl w:val="0"/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网络演化规则</w:t>
      </w:r>
      <w:r>
        <w:rPr>
          <w:rFonts w:eastAsia="宋体"/>
          <w:sz w:val="28"/>
        </w:rPr>
        <w:t>：共享成功→关系权重增加（强化学习）；共享失败（知识被滥用）→关系断裂概率增加</w:t>
      </w:r>
    </w:p>
    <w:p w14:paraId="45CDB554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仿真实验</w:t>
      </w:r>
      <w:r>
        <w:rPr>
          <w:rFonts w:eastAsia="宋体"/>
          <w:sz w:val="28"/>
        </w:rPr>
        <w:t>：</w:t>
      </w:r>
    </w:p>
    <w:p w14:paraId="0C990EE0">
      <w:pPr>
        <w:numPr>
          <w:ilvl w:val="0"/>
          <w:numId w:val="1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b/>
          <w:sz w:val="28"/>
        </w:rPr>
        <w:t>基准情景</w:t>
      </w:r>
      <w:r>
        <w:rPr>
          <w:rFonts w:eastAsia="宋体"/>
          <w:sz w:val="28"/>
        </w:rPr>
        <w:t>：无干预，知识共享率稳定在32%</w:t>
      </w:r>
    </w:p>
    <w:p w14:paraId="34FA4F1B">
      <w:pPr>
        <w:numPr>
          <w:ilvl w:val="0"/>
          <w:numId w:val="1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b/>
          <w:sz w:val="28"/>
        </w:rPr>
        <w:t>激励情景</w:t>
      </w:r>
      <w:r>
        <w:rPr>
          <w:rFonts w:eastAsia="宋体"/>
          <w:sz w:val="28"/>
        </w:rPr>
        <w:t>：物质奖励增加态度权重20%，共享率提升至41%，但高质量知识分享比例下降（"量增质降"）</w:t>
      </w:r>
    </w:p>
    <w:p w14:paraId="23B82E1C">
      <w:pPr>
        <w:numPr>
          <w:ilvl w:val="0"/>
          <w:numId w:val="1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b/>
          <w:sz w:val="28"/>
        </w:rPr>
        <w:t>网络干预情景</w:t>
      </w:r>
      <w:r>
        <w:rPr>
          <w:rFonts w:eastAsia="宋体"/>
          <w:sz w:val="28"/>
        </w:rPr>
        <w:t>：识别网络中的"结构洞"位置员工，针对性提升其PBC，共享率提升至48%，且网络密度增加15%</w:t>
      </w:r>
    </w:p>
    <w:p w14:paraId="55343766">
      <w:pPr>
        <w:numPr>
          <w:ilvl w:val="0"/>
          <w:numId w:val="1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b/>
          <w:sz w:val="28"/>
        </w:rPr>
        <w:t>文化干预情景</w:t>
      </w:r>
      <w:r>
        <w:rPr>
          <w:rFonts w:eastAsia="宋体"/>
          <w:sz w:val="28"/>
        </w:rPr>
        <w:t>：强化共享规范（SN权重提升30%），产生持续自我强化效应，长期效果优于物质激励</w:t>
      </w:r>
    </w:p>
    <w:p w14:paraId="5CEF6528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理论创新</w:t>
      </w:r>
      <w:r>
        <w:rPr>
          <w:rFonts w:eastAsia="宋体"/>
          <w:sz w:val="28"/>
        </w:rPr>
        <w:t>：提出"情感-工具双机制"模型，发现积极情绪（共享愉悦感）在网络演化早期起主导作用，而工具性资源依赖在后期更为重要。</w:t>
      </w:r>
    </w:p>
    <w:p w14:paraId="63EAD7DF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案例三：长期拼车行为组织化建模——组织理论+协商理论+活动基模型</w:t>
      </w:r>
    </w:p>
    <w:p w14:paraId="6B3C0C49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研究背景</w:t>
      </w:r>
      <w:r>
        <w:rPr>
          <w:rFonts w:eastAsia="宋体"/>
          <w:sz w:val="28"/>
        </w:rPr>
        <w:t>：通勤拼车是解决城市拥堵的重要策略，但个体时空约束异质性导致匹配困难，传统静态优化模型忽视行为适应性。</w:t>
      </w:r>
    </w:p>
    <w:p w14:paraId="3752E26C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模型设计</w:t>
      </w:r>
      <w:r>
        <w:rPr>
          <w:rFonts w:eastAsia="宋体"/>
          <w:sz w:val="28"/>
        </w:rPr>
        <w:t>（基于Galland等, 2018）：</w:t>
      </w:r>
    </w:p>
    <w:p w14:paraId="29F9E900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组织元模型（Organizational Meta-model）</w:t>
      </w:r>
      <w:r>
        <w:rPr>
          <w:rFonts w:eastAsia="宋体"/>
          <w:sz w:val="28"/>
        </w:rPr>
        <w:t>：将拼车系统视为临时性组织，定义角色（司机/乘客）、目标（成本最小化/时间最优化/社交需求）、规范（准时性约束）</w:t>
      </w:r>
      <w:r>
        <w:rPr>
          <w:rFonts w:hint="eastAsia" w:eastAsia="宋体"/>
          <w:sz w:val="28"/>
          <w:lang w:eastAsia="zh-CN"/>
        </w:rPr>
        <w:t>。</w:t>
      </w:r>
    </w:p>
    <w:p w14:paraId="0FAA4ECF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活动基模型（Activity-Based Model）</w:t>
      </w:r>
      <w:r>
        <w:rPr>
          <w:rFonts w:eastAsia="宋体"/>
          <w:sz w:val="28"/>
        </w:rPr>
        <w:t>：基于FEATHERS模型生成Agent日活动计划（工作、购物、休闲），包含硬约束（工作时间固定）与软约束（购物时间弹性）</w:t>
      </w:r>
      <w:r>
        <w:rPr>
          <w:rFonts w:hint="eastAsia" w:eastAsia="宋体"/>
          <w:sz w:val="28"/>
          <w:lang w:eastAsia="zh-CN"/>
        </w:rPr>
        <w:t>。</w:t>
      </w:r>
    </w:p>
    <w:p w14:paraId="537DF559">
      <w:pPr>
        <w:numPr>
          <w:ilvl w:val="0"/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协商机制</w:t>
      </w:r>
      <w:r>
        <w:rPr>
          <w:rFonts w:eastAsia="宋体"/>
          <w:sz w:val="28"/>
        </w:rPr>
        <w:t>：</w:t>
      </w:r>
    </w:p>
    <w:p w14:paraId="6DBD3FCE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阶段1</w:t>
      </w:r>
      <w:r>
        <w:rPr>
          <w:rFonts w:eastAsia="宋体"/>
          <w:sz w:val="28"/>
        </w:rPr>
        <w:t>：出发时间协商，采用渐进式让步策略（逐步调整时间窗口）</w:t>
      </w:r>
      <w:r>
        <w:rPr>
          <w:rFonts w:hint="eastAsia" w:eastAsia="宋体"/>
          <w:sz w:val="28"/>
          <w:lang w:eastAsia="zh-CN"/>
        </w:rPr>
        <w:t>。</w:t>
      </w:r>
    </w:p>
    <w:p w14:paraId="15206ED8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阶段2</w:t>
      </w:r>
      <w:r>
        <w:rPr>
          <w:rFonts w:eastAsia="宋体"/>
          <w:sz w:val="28"/>
        </w:rPr>
        <w:t>：司机选择，基于路线匹配度、历史可靠性评分、社交偏好</w:t>
      </w:r>
      <w:r>
        <w:rPr>
          <w:rFonts w:hint="eastAsia" w:eastAsia="宋体"/>
          <w:sz w:val="28"/>
          <w:lang w:eastAsia="zh-CN"/>
        </w:rPr>
        <w:t>。</w:t>
      </w:r>
    </w:p>
    <w:p w14:paraId="39C61797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阶段3</w:t>
      </w:r>
      <w:r>
        <w:rPr>
          <w:rFonts w:eastAsia="宋体"/>
          <w:sz w:val="28"/>
        </w:rPr>
        <w:t>：动态议程调整，Agent根据协商结果重新优化当日活动序列</w:t>
      </w:r>
      <w:r>
        <w:rPr>
          <w:rFonts w:hint="eastAsia" w:eastAsia="宋体"/>
          <w:sz w:val="28"/>
          <w:lang w:eastAsia="zh-CN"/>
        </w:rPr>
        <w:t>。</w:t>
      </w:r>
    </w:p>
    <w:p w14:paraId="37B84F4D">
      <w:pPr>
        <w:numPr>
          <w:ilvl w:val="0"/>
          <w:numId w:val="0"/>
        </w:numPr>
        <w:spacing w:before="0" w:after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行为适应</w:t>
      </w:r>
      <w:r>
        <w:rPr>
          <w:rFonts w:eastAsia="宋体"/>
          <w:sz w:val="28"/>
        </w:rPr>
        <w:t>：成功拼车→强化该合作关系；失败→调整时间偏好参数或退出拼车池</w:t>
      </w:r>
      <w:r>
        <w:rPr>
          <w:rFonts w:hint="eastAsia" w:eastAsia="宋体"/>
          <w:sz w:val="28"/>
          <w:lang w:eastAsia="zh-CN"/>
        </w:rPr>
        <w:t>。</w:t>
      </w:r>
    </w:p>
    <w:p w14:paraId="3F2F73B0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关键发现</w:t>
      </w:r>
      <w:r>
        <w:rPr>
          <w:rFonts w:eastAsia="宋体"/>
          <w:sz w:val="28"/>
        </w:rPr>
        <w:t>：</w:t>
      </w:r>
    </w:p>
    <w:p w14:paraId="4CD08031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sz w:val="28"/>
        </w:rPr>
        <w:t>单纯地理邻近性匹配成功率仅12%，引入时间协商机制后提升至34%</w:t>
      </w:r>
      <w:r>
        <w:rPr>
          <w:rFonts w:hint="eastAsia" w:eastAsia="宋体"/>
          <w:sz w:val="28"/>
          <w:lang w:eastAsia="zh-CN"/>
        </w:rPr>
        <w:t>。</w:t>
      </w:r>
    </w:p>
    <w:p w14:paraId="00E3FD97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sz w:val="28"/>
        </w:rPr>
        <w:t>组织化约束（如"迟到三次退出机制"）显著提升系统稳定性，但过度惩罚导致参与率下降</w:t>
      </w:r>
      <w:r>
        <w:rPr>
          <w:rFonts w:hint="eastAsia" w:eastAsia="宋体"/>
          <w:sz w:val="28"/>
          <w:lang w:eastAsia="zh-CN"/>
        </w:rPr>
        <w:t>。</w:t>
      </w:r>
    </w:p>
    <w:p w14:paraId="13908725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sz w:val="28"/>
        </w:rPr>
        <w:t>社交偏好异质性（内向/外向）产生"同质聚集"现象，形成稳定的拼车社群结构</w:t>
      </w:r>
      <w:r>
        <w:rPr>
          <w:rFonts w:hint="eastAsia" w:eastAsia="宋体"/>
          <w:sz w:val="28"/>
          <w:lang w:eastAsia="zh-CN"/>
        </w:rPr>
        <w:t>。</w:t>
      </w:r>
    </w:p>
    <w:p w14:paraId="701E2160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政策应用</w:t>
      </w:r>
      <w:r>
        <w:rPr>
          <w:rFonts w:eastAsia="宋体"/>
          <w:sz w:val="28"/>
        </w:rPr>
        <w:t>：该模型被用于评估Flexpass政策（灵活工作制度+拼车补贴组合），仿真显示该政策可使拼车率提升至28%，相当于减少12%的通勤车辆。</w:t>
      </w:r>
    </w:p>
    <w:p w14:paraId="6A3FD9FD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案例四：公共卫生危机中的动机异质性仿真——FCM+ABM混合模型</w:t>
      </w:r>
    </w:p>
    <w:p w14:paraId="0E59E18D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研究背景</w:t>
      </w:r>
      <w:r>
        <w:rPr>
          <w:rFonts w:eastAsia="宋体"/>
          <w:sz w:val="28"/>
        </w:rPr>
        <w:t>：COVID-19疫情显示，个体防护行为受多重动机驱动（自我保护、社会责任、经济压力），传统SEIR模型难以捕捉行为-疫情耦合动态。</w:t>
      </w:r>
    </w:p>
    <w:p w14:paraId="02290914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模型设计</w:t>
      </w:r>
      <w:r>
        <w:rPr>
          <w:rFonts w:eastAsia="宋体"/>
          <w:sz w:val="28"/>
        </w:rPr>
        <w:t>（基于2024年最新研究）：</w:t>
      </w:r>
    </w:p>
    <w:p w14:paraId="20693976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模糊认知图（FCM）模块</w:t>
      </w:r>
      <w:r>
        <w:rPr>
          <w:rFonts w:eastAsia="宋体"/>
          <w:sz w:val="28"/>
        </w:rPr>
        <w:t>：模拟Agent认知结构</w:t>
      </w:r>
    </w:p>
    <w:p w14:paraId="304CF60A">
      <w:pPr>
        <w:numPr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bCs/>
          <w:sz w:val="28"/>
        </w:rPr>
        <w:t>节点：</w:t>
      </w:r>
      <w:r>
        <w:rPr>
          <w:rFonts w:eastAsia="宋体"/>
          <w:sz w:val="28"/>
        </w:rPr>
        <w:t>感染风险感知、疫苗信任度、经济焦虑、社会规范压力、政策遵从意愿</w:t>
      </w:r>
      <w:r>
        <w:rPr>
          <w:rFonts w:hint="eastAsia" w:eastAsia="宋体"/>
          <w:sz w:val="28"/>
          <w:lang w:eastAsia="zh-CN"/>
        </w:rPr>
        <w:t>。</w:t>
      </w:r>
    </w:p>
    <w:p w14:paraId="01A5B39D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bCs/>
          <w:sz w:val="28"/>
        </w:rPr>
        <w:t>边权重：</w:t>
      </w:r>
      <w:r>
        <w:rPr>
          <w:rFonts w:eastAsia="宋体"/>
          <w:sz w:val="28"/>
        </w:rPr>
        <w:t>基于人口统计特征异质化（年龄、教育、政治倾向）</w:t>
      </w:r>
      <w:r>
        <w:rPr>
          <w:rFonts w:hint="eastAsia" w:eastAsia="宋体"/>
          <w:sz w:val="28"/>
          <w:lang w:eastAsia="zh-CN"/>
        </w:rPr>
        <w:t>。</w:t>
      </w:r>
    </w:p>
    <w:p w14:paraId="7321661C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bCs/>
          <w:sz w:val="28"/>
        </w:rPr>
        <w:t>动态更新：</w:t>
      </w:r>
      <w:r>
        <w:rPr>
          <w:rFonts w:eastAsia="宋体"/>
          <w:sz w:val="28"/>
        </w:rPr>
        <w:t>媒体曝光→节点激活→权重调整（Hebbian学习规则）</w:t>
      </w:r>
      <w:r>
        <w:rPr>
          <w:rFonts w:hint="eastAsia" w:eastAsia="宋体"/>
          <w:sz w:val="28"/>
          <w:lang w:eastAsia="zh-CN"/>
        </w:rPr>
        <w:t>。</w:t>
      </w:r>
    </w:p>
    <w:p w14:paraId="3BC3A5E1">
      <w:pPr>
        <w:numPr>
          <w:ilvl w:val="0"/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ABM模块</w:t>
      </w:r>
      <w:r>
        <w:rPr>
          <w:rFonts w:eastAsia="宋体"/>
          <w:sz w:val="28"/>
        </w:rPr>
        <w:t>：</w:t>
      </w:r>
    </w:p>
    <w:p w14:paraId="7843BD6E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bCs/>
          <w:sz w:val="28"/>
        </w:rPr>
        <w:t>空间移动：</w:t>
      </w:r>
      <w:r>
        <w:rPr>
          <w:rFonts w:eastAsia="宋体"/>
          <w:sz w:val="28"/>
        </w:rPr>
        <w:t>基于活动模式（家庭-工作-休闲）的多点定位</w:t>
      </w:r>
      <w:r>
        <w:rPr>
          <w:rFonts w:hint="eastAsia" w:eastAsia="宋体"/>
          <w:sz w:val="28"/>
          <w:lang w:eastAsia="zh-CN"/>
        </w:rPr>
        <w:t>。</w:t>
      </w:r>
    </w:p>
    <w:p w14:paraId="4EF950E4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bCs/>
          <w:sz w:val="28"/>
        </w:rPr>
        <w:t>接触网络：</w:t>
      </w:r>
      <w:r>
        <w:rPr>
          <w:rFonts w:eastAsia="宋体"/>
          <w:sz w:val="28"/>
        </w:rPr>
        <w:t>动态生成，受FCM输出的"社交距离意愿"调节</w:t>
      </w:r>
      <w:r>
        <w:rPr>
          <w:rFonts w:hint="eastAsia" w:eastAsia="宋体"/>
          <w:sz w:val="28"/>
          <w:lang w:eastAsia="zh-CN"/>
        </w:rPr>
        <w:t>。</w:t>
      </w:r>
    </w:p>
    <w:p w14:paraId="251C9066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bCs/>
          <w:sz w:val="28"/>
        </w:rPr>
        <w:t>政策干预：</w:t>
      </w:r>
      <w:r>
        <w:rPr>
          <w:rFonts w:eastAsia="宋体"/>
          <w:sz w:val="28"/>
        </w:rPr>
        <w:t>非药物干预（NPI）强度→影响FCM中"政策遵从"节点→改变接触率</w:t>
      </w:r>
      <w:r>
        <w:rPr>
          <w:rFonts w:hint="eastAsia" w:eastAsia="宋体"/>
          <w:sz w:val="28"/>
          <w:lang w:eastAsia="zh-CN"/>
        </w:rPr>
        <w:t>。</w:t>
      </w:r>
    </w:p>
    <w:p w14:paraId="3361A185">
      <w:pPr>
        <w:numPr>
          <w:ilvl w:val="0"/>
          <w:numId w:val="0"/>
        </w:numPr>
        <w:spacing w:before="0" w:after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双向耦合</w:t>
      </w:r>
      <w:r>
        <w:rPr>
          <w:rFonts w:eastAsia="宋体"/>
          <w:sz w:val="28"/>
        </w:rPr>
        <w:t>：疫情数据（感染率）→FCM风险感知节点；FCM行为输出→ABM接触网络结构</w:t>
      </w:r>
      <w:r>
        <w:rPr>
          <w:rFonts w:hint="eastAsia" w:eastAsia="宋体"/>
          <w:sz w:val="28"/>
          <w:lang w:eastAsia="zh-CN"/>
        </w:rPr>
        <w:t>。</w:t>
      </w:r>
    </w:p>
    <w:p w14:paraId="74468A61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仿真实验</w:t>
      </w:r>
      <w:r>
        <w:rPr>
          <w:rFonts w:eastAsia="宋体"/>
          <w:sz w:val="28"/>
        </w:rPr>
        <w:t>：</w:t>
      </w:r>
    </w:p>
    <w:p w14:paraId="52D5F709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动机聚类</w:t>
      </w:r>
      <w:r>
        <w:rPr>
          <w:rFonts w:eastAsia="宋体"/>
          <w:sz w:val="28"/>
        </w:rPr>
        <w:t>：识别出"防护优先型"(30%)、"经济优先型"(25%)、"社交需求型"(20%)、"漠不关心型"(25%)四类Agent</w:t>
      </w:r>
      <w:r>
        <w:rPr>
          <w:rFonts w:hint="eastAsia" w:eastAsia="宋体"/>
          <w:sz w:val="28"/>
          <w:lang w:eastAsia="zh-CN"/>
        </w:rPr>
        <w:t>。</w:t>
      </w:r>
    </w:p>
    <w:p w14:paraId="65EDF9ED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政策效果异质性</w:t>
      </w:r>
      <w:r>
        <w:rPr>
          <w:rFonts w:eastAsia="宋体"/>
          <w:sz w:val="28"/>
        </w:rPr>
        <w:t>：封锁政策对"经济优先型"效果有限（合规率仅45%），而信息干预（提升风险感知）对"社交需求型"更有效</w:t>
      </w:r>
      <w:r>
        <w:rPr>
          <w:rFonts w:hint="eastAsia" w:eastAsia="宋体"/>
          <w:sz w:val="28"/>
          <w:lang w:eastAsia="zh-CN"/>
        </w:rPr>
        <w:t>。</w:t>
      </w:r>
    </w:p>
    <w:p w14:paraId="13C40ECC">
      <w:pPr>
        <w:numPr>
          <w:ilvl w:val="0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涌现现象</w:t>
      </w:r>
      <w:r>
        <w:rPr>
          <w:rFonts w:eastAsia="宋体"/>
          <w:sz w:val="28"/>
        </w:rPr>
        <w:t>：当"防护优先型"比例超过40%时，社会规范压力触发"保护性从众"，疫情传播出现非线性下降</w:t>
      </w:r>
      <w:r>
        <w:rPr>
          <w:rFonts w:hint="eastAsia" w:eastAsia="宋体"/>
          <w:sz w:val="28"/>
          <w:lang w:eastAsia="zh-CN"/>
        </w:rPr>
        <w:t>。</w:t>
      </w:r>
    </w:p>
    <w:p w14:paraId="506EB540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案例五：建筑工人安全行为管理——TPB+社会学习理论整合</w:t>
      </w:r>
    </w:p>
    <w:p w14:paraId="17AE3399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研究背景</w:t>
      </w:r>
      <w:r>
        <w:rPr>
          <w:rFonts w:eastAsia="宋体"/>
          <w:sz w:val="28"/>
        </w:rPr>
        <w:t>：建筑业事故率高，传统安全培训效果短暂，需理解班组内安全行为的传播机制。</w:t>
      </w:r>
    </w:p>
    <w:p w14:paraId="3C8864F1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模型设计</w:t>
      </w:r>
      <w:r>
        <w:rPr>
          <w:rFonts w:eastAsia="宋体"/>
          <w:sz w:val="28"/>
        </w:rPr>
        <w:t>（基于Wang等, 2023）：</w:t>
      </w:r>
    </w:p>
    <w:p w14:paraId="35088F34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TPB核心</w:t>
      </w:r>
      <w:r>
        <w:rPr>
          <w:rFonts w:eastAsia="宋体"/>
          <w:sz w:val="28"/>
        </w:rPr>
        <w:t>：</w:t>
      </w:r>
    </w:p>
    <w:p w14:paraId="3D555C98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bCs/>
          <w:sz w:val="28"/>
        </w:rPr>
        <w:t>态度：</w:t>
      </w:r>
      <w:r>
        <w:rPr>
          <w:rFonts w:eastAsia="宋体"/>
          <w:sz w:val="28"/>
        </w:rPr>
        <w:t>安全行为便利性 vs. 生产效率压力</w:t>
      </w:r>
      <w:r>
        <w:rPr>
          <w:rFonts w:hint="eastAsia" w:eastAsia="宋体"/>
          <w:sz w:val="28"/>
          <w:lang w:eastAsia="zh-CN"/>
        </w:rPr>
        <w:t>。</w:t>
      </w:r>
    </w:p>
    <w:p w14:paraId="45E3D420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bCs/>
          <w:sz w:val="28"/>
        </w:rPr>
        <w:t>主观规范：</w:t>
      </w:r>
      <w:r>
        <w:rPr>
          <w:rFonts w:eastAsia="宋体"/>
          <w:sz w:val="28"/>
        </w:rPr>
        <w:t>班组长安全期望 × 同事安全行为比例</w:t>
      </w:r>
      <w:r>
        <w:rPr>
          <w:rFonts w:hint="eastAsia" w:eastAsia="宋体"/>
          <w:sz w:val="28"/>
          <w:lang w:eastAsia="zh-CN"/>
        </w:rPr>
        <w:t>。</w:t>
      </w:r>
    </w:p>
    <w:p w14:paraId="7F9D1941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bCs/>
          <w:sz w:val="28"/>
        </w:rPr>
        <w:t>PBC：</w:t>
      </w:r>
      <w:r>
        <w:rPr>
          <w:rFonts w:eastAsia="宋体"/>
          <w:sz w:val="28"/>
        </w:rPr>
        <w:t>安全技能自信 × 时间充裕度</w:t>
      </w:r>
      <w:r>
        <w:rPr>
          <w:rFonts w:hint="eastAsia" w:eastAsia="宋体"/>
          <w:sz w:val="28"/>
          <w:lang w:eastAsia="zh-CN"/>
        </w:rPr>
        <w:t>。</w:t>
      </w:r>
    </w:p>
    <w:p w14:paraId="679B9DB2">
      <w:pPr>
        <w:numPr>
          <w:ilvl w:val="0"/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社会学习理论扩展</w:t>
      </w:r>
      <w:r>
        <w:rPr>
          <w:rFonts w:eastAsia="宋体"/>
          <w:sz w:val="28"/>
        </w:rPr>
        <w:t>：</w:t>
      </w:r>
    </w:p>
    <w:p w14:paraId="3E546980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观察学习</w:t>
      </w:r>
      <w:r>
        <w:rPr>
          <w:rFonts w:eastAsia="宋体"/>
          <w:sz w:val="28"/>
        </w:rPr>
        <w:t>：Agent观察同事行为后果（奖励/事故）→ 调整自我效能评估</w:t>
      </w:r>
      <w:r>
        <w:rPr>
          <w:rFonts w:hint="eastAsia" w:eastAsia="宋体"/>
          <w:sz w:val="28"/>
          <w:lang w:eastAsia="zh-CN"/>
        </w:rPr>
        <w:t>。</w:t>
      </w:r>
    </w:p>
    <w:p w14:paraId="1C758C1F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替代性强化</w:t>
      </w:r>
      <w:r>
        <w:rPr>
          <w:rFonts w:eastAsia="宋体"/>
          <w:sz w:val="28"/>
        </w:rPr>
        <w:t>：同事受表扬→观察者态度正向调整；事故 witnessing→风险感知提升</w:t>
      </w:r>
      <w:r>
        <w:rPr>
          <w:rFonts w:hint="eastAsia" w:eastAsia="宋体"/>
          <w:sz w:val="28"/>
          <w:lang w:eastAsia="zh-CN"/>
        </w:rPr>
        <w:t>。</w:t>
      </w:r>
    </w:p>
    <w:p w14:paraId="346CC484">
      <w:pPr>
        <w:numPr>
          <w:ilvl w:val="1"/>
          <w:numId w:val="0"/>
        </w:numPr>
        <w:spacing w:before="0" w:after="0"/>
        <w:ind w:firstLine="420" w:firstLineChars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榜样选择</w:t>
      </w:r>
      <w:r>
        <w:rPr>
          <w:rFonts w:eastAsia="宋体"/>
          <w:sz w:val="28"/>
        </w:rPr>
        <w:t>：倾向于模仿地位相似、关系亲近的同伴</w:t>
      </w:r>
      <w:r>
        <w:rPr>
          <w:rFonts w:hint="eastAsia" w:eastAsia="宋体"/>
          <w:sz w:val="28"/>
          <w:lang w:eastAsia="zh-CN"/>
        </w:rPr>
        <w:t>。</w:t>
      </w:r>
    </w:p>
    <w:p w14:paraId="55942A55">
      <w:pPr>
        <w:numPr>
          <w:ilvl w:val="0"/>
          <w:numId w:val="0"/>
        </w:numPr>
        <w:spacing w:before="0" w:after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组织层级影响</w:t>
      </w:r>
      <w:r>
        <w:rPr>
          <w:rFonts w:eastAsia="宋体"/>
          <w:sz w:val="28"/>
        </w:rPr>
        <w:t>：班组长Agent作为"规范发送者"，其安全领导力通过日常互动（班前会、现场指导）影响下属PBC</w:t>
      </w:r>
      <w:r>
        <w:rPr>
          <w:rFonts w:hint="eastAsia" w:eastAsia="宋体"/>
          <w:sz w:val="28"/>
          <w:lang w:eastAsia="zh-CN"/>
        </w:rPr>
        <w:t>。</w:t>
      </w:r>
    </w:p>
    <w:p w14:paraId="67845ECC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干预仿真</w:t>
      </w:r>
      <w:r>
        <w:rPr>
          <w:rFonts w:eastAsia="宋体"/>
          <w:sz w:val="28"/>
        </w:rPr>
        <w:t>：</w:t>
      </w:r>
    </w:p>
    <w:p w14:paraId="64A3BAB7">
      <w:pPr>
        <w:numPr>
          <w:ilvl w:val="0"/>
          <w:numId w:val="0"/>
        </w:numPr>
        <w:spacing w:before="0" w:after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传统培训</w:t>
      </w:r>
      <w:r>
        <w:rPr>
          <w:rFonts w:eastAsia="宋体"/>
          <w:sz w:val="28"/>
        </w:rPr>
        <w:t>：仅提升PBC，效果持续2周后衰减至基线</w:t>
      </w:r>
      <w:r>
        <w:rPr>
          <w:rFonts w:hint="eastAsia" w:eastAsia="宋体"/>
          <w:sz w:val="28"/>
          <w:lang w:eastAsia="zh-CN"/>
        </w:rPr>
        <w:t>。</w:t>
      </w:r>
    </w:p>
    <w:p w14:paraId="322D8115">
      <w:pPr>
        <w:numPr>
          <w:ilvl w:val="0"/>
          <w:numId w:val="0"/>
        </w:numPr>
        <w:spacing w:before="0" w:after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班组长领导力干预</w:t>
      </w:r>
      <w:r>
        <w:rPr>
          <w:rFonts w:eastAsia="宋体"/>
          <w:sz w:val="28"/>
        </w:rPr>
        <w:t>：提升主观规范强度，效果持续6周，但存在"组长依赖"</w:t>
      </w:r>
      <w:r>
        <w:rPr>
          <w:rFonts w:hint="eastAsia" w:eastAsia="宋体"/>
          <w:sz w:val="28"/>
          <w:lang w:eastAsia="zh-CN"/>
        </w:rPr>
        <w:t>。</w:t>
      </w:r>
    </w:p>
    <w:p w14:paraId="513DBDCF">
      <w:pPr>
        <w:numPr>
          <w:ilvl w:val="0"/>
          <w:numId w:val="0"/>
        </w:numPr>
        <w:spacing w:before="0" w:after="0"/>
        <w:rPr>
          <w:rFonts w:hint="eastAsia" w:eastAsia="宋体"/>
          <w:sz w:val="28"/>
          <w:lang w:eastAsia="zh-CN"/>
        </w:rPr>
      </w:pPr>
      <w:r>
        <w:rPr>
          <w:rFonts w:eastAsia="宋体"/>
          <w:b/>
          <w:sz w:val="28"/>
        </w:rPr>
        <w:t>同伴安全网络干预</w:t>
      </w:r>
      <w:r>
        <w:rPr>
          <w:rFonts w:eastAsia="宋体"/>
          <w:sz w:val="28"/>
        </w:rPr>
        <w:t>：识别网络中心节点（高连接度工人）作为"安全大使"，结合观察学习机制，产生持续自我强化，8周后安全行为率仍高于基线15%</w:t>
      </w:r>
      <w:r>
        <w:rPr>
          <w:rFonts w:hint="eastAsia" w:eastAsia="宋体"/>
          <w:sz w:val="28"/>
          <w:lang w:eastAsia="zh-CN"/>
        </w:rPr>
        <w:t>。</w:t>
      </w:r>
    </w:p>
    <w:p w14:paraId="6DEB3E0B">
      <w:pPr>
        <w:pStyle w:val="3"/>
        <w:rPr>
          <w:rFonts w:eastAsia="宋体"/>
          <w:sz w:val="28"/>
        </w:rPr>
      </w:pPr>
      <w:r>
        <w:rPr>
          <w:rFonts w:eastAsia="宋体"/>
          <w:sz w:val="28"/>
        </w:rPr>
        <w:t>四、方法论创新：理论融合的技术路径</w:t>
      </w:r>
    </w:p>
    <w:p w14:paraId="3AF7D832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4.1 混合架构模式</w:t>
      </w:r>
    </w:p>
    <w:p w14:paraId="4A715EDC">
      <w:pPr>
        <w:rPr>
          <w:rFonts w:eastAsia="宋体"/>
          <w:sz w:val="28"/>
        </w:rPr>
      </w:pPr>
      <w:r>
        <w:rPr>
          <w:rFonts w:eastAsia="宋体"/>
          <w:sz w:val="28"/>
        </w:rPr>
        <w:t>当前前沿研究采用**</w:t>
      </w:r>
      <w:r>
        <w:rPr>
          <w:rFonts w:hint="eastAsia" w:eastAsia="宋体"/>
          <w:b/>
          <w:bCs/>
          <w:sz w:val="28"/>
          <w:lang w:eastAsia="zh-CN"/>
        </w:rPr>
        <w:t>“</w:t>
      </w:r>
      <w:r>
        <w:rPr>
          <w:rFonts w:eastAsia="宋体"/>
          <w:b/>
          <w:bCs/>
          <w:sz w:val="28"/>
        </w:rPr>
        <w:t>认知-行为</w:t>
      </w:r>
      <w:r>
        <w:rPr>
          <w:rFonts w:hint="eastAsia" w:eastAsia="宋体"/>
          <w:b/>
          <w:bCs/>
          <w:sz w:val="28"/>
          <w:lang w:eastAsia="zh-CN"/>
        </w:rPr>
        <w:t>”</w:t>
      </w:r>
      <w:r>
        <w:rPr>
          <w:rFonts w:eastAsia="宋体"/>
          <w:b/>
          <w:bCs/>
          <w:sz w:val="28"/>
        </w:rPr>
        <w:t>双层架构</w:t>
      </w:r>
      <w:r>
        <w:rPr>
          <w:rFonts w:eastAsia="宋体"/>
          <w:sz w:val="28"/>
        </w:rPr>
        <w:t>**：</w:t>
      </w:r>
    </w:p>
    <w:p w14:paraId="4158D9EB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认知层</w:t>
      </w:r>
      <w:r>
        <w:rPr>
          <w:rFonts w:eastAsia="宋体"/>
          <w:sz w:val="28"/>
        </w:rPr>
        <w:t>：运用心理学理论（TPB、PMT、FCM）模拟Agent内部决策过程，处理信念、态度、意向等不可直接观测变量</w:t>
      </w:r>
    </w:p>
    <w:p w14:paraId="23DE604F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行为层</w:t>
      </w:r>
      <w:r>
        <w:rPr>
          <w:rFonts w:eastAsia="宋体"/>
          <w:sz w:val="28"/>
        </w:rPr>
        <w:t>：运用管理学理论（组织理论、社会网络理论）模拟Agent间互动与结构演化，处理可见的行为与关系变化</w:t>
      </w:r>
    </w:p>
    <w:p w14:paraId="4B88E390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4.2 数据驱动的理论校准</w:t>
      </w:r>
    </w:p>
    <w:p w14:paraId="04237301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调查数据</w:t>
      </w:r>
      <w:r>
        <w:rPr>
          <w:rFonts w:eastAsia="宋体"/>
          <w:sz w:val="28"/>
        </w:rPr>
        <w:t>：通过结构化问卷测量TPB构念，使用结构方程模型（SEM）估计路径系数，直接转化为Agent决策规则</w:t>
      </w:r>
    </w:p>
    <w:p w14:paraId="7054B078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实验数据</w:t>
      </w:r>
      <w:r>
        <w:rPr>
          <w:rFonts w:eastAsia="宋体"/>
          <w:sz w:val="28"/>
        </w:rPr>
        <w:t>：行为经济学实验（如公共品博弈）估计损失厌恶、社会偏好参数，校准Agent异质性分布</w:t>
      </w:r>
    </w:p>
    <w:p w14:paraId="6F119165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大数据</w:t>
      </w:r>
      <w:r>
        <w:rPr>
          <w:rFonts w:eastAsia="宋体"/>
          <w:sz w:val="28"/>
        </w:rPr>
        <w:t>：手机信令数据验证活动模式；社交媒体数据验证FCM中的信念网络</w:t>
      </w:r>
    </w:p>
    <w:p w14:paraId="01F4B3D6">
      <w:pPr>
        <w:pStyle w:val="4"/>
        <w:rPr>
          <w:rFonts w:eastAsia="宋体"/>
          <w:sz w:val="28"/>
        </w:rPr>
      </w:pPr>
      <w:r>
        <w:rPr>
          <w:rFonts w:eastAsia="宋体"/>
          <w:sz w:val="28"/>
        </w:rPr>
        <w:t>4.3 验证困境的应对策略</w:t>
      </w:r>
    </w:p>
    <w:p w14:paraId="57E744DE">
      <w:pPr>
        <w:rPr>
          <w:rFonts w:eastAsia="宋体"/>
          <w:sz w:val="28"/>
        </w:rPr>
      </w:pPr>
      <w:r>
        <w:rPr>
          <w:rFonts w:eastAsia="宋体"/>
          <w:sz w:val="28"/>
        </w:rPr>
        <w:t>针对"同一理论多形式化"导致的验证难题，学界提出：</w:t>
      </w:r>
    </w:p>
    <w:p w14:paraId="7386A27B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模式导向建模（Pattern-Oriented Modeling）</w:t>
      </w:r>
      <w:r>
        <w:rPr>
          <w:rFonts w:eastAsia="宋体"/>
          <w:sz w:val="28"/>
        </w:rPr>
        <w:t>：同时匹配多尺度实证模式（微观行为频率、中观网络结构、宏观时间序列）</w:t>
      </w:r>
    </w:p>
    <w:p w14:paraId="55825193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敏感性分析</w:t>
      </w:r>
      <w:r>
        <w:rPr>
          <w:rFonts w:eastAsia="宋体"/>
          <w:sz w:val="28"/>
        </w:rPr>
        <w:t>：系统比较不同理论操作化对结果的影响，识别稳健性结论与情境依赖结论</w:t>
      </w:r>
    </w:p>
    <w:p w14:paraId="03E2B700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参与式验证</w:t>
      </w:r>
      <w:r>
        <w:rPr>
          <w:rFonts w:eastAsia="宋体"/>
          <w:sz w:val="28"/>
        </w:rPr>
        <w:t>：邀请领域专家（心理学家、管理者）评估Agent行为合理性，提升 face validity</w:t>
      </w:r>
    </w:p>
    <w:p w14:paraId="04932512">
      <w:pPr>
        <w:pStyle w:val="3"/>
        <w:rPr>
          <w:rFonts w:eastAsia="宋体"/>
          <w:sz w:val="28"/>
        </w:rPr>
      </w:pPr>
      <w:r>
        <w:rPr>
          <w:rFonts w:eastAsia="宋体"/>
          <w:sz w:val="28"/>
        </w:rPr>
        <w:t>五、挑战与未来方向</w:t>
      </w:r>
    </w:p>
    <w:p w14:paraId="328D736B">
      <w:pPr>
        <w:rPr>
          <w:rFonts w:eastAsia="宋体"/>
          <w:sz w:val="28"/>
        </w:rPr>
      </w:pPr>
      <w:r>
        <w:rPr>
          <w:rFonts w:eastAsia="宋体"/>
          <w:sz w:val="28"/>
        </w:rPr>
        <w:t>尽管取得显著进展，该领域仍面临：</w:t>
      </w:r>
    </w:p>
    <w:p w14:paraId="49568DE0">
      <w:pPr>
        <w:numPr>
          <w:ilvl w:val="0"/>
          <w:numId w:val="2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b/>
          <w:sz w:val="28"/>
        </w:rPr>
        <w:t>理论碎片化</w:t>
      </w:r>
      <w:r>
        <w:rPr>
          <w:rFonts w:eastAsia="宋体"/>
          <w:sz w:val="28"/>
        </w:rPr>
        <w:t>：心理学理论侧重个体认知，管理学理论侧重组织结构，缺乏统一的形式化框架实现无缝整合</w:t>
      </w:r>
    </w:p>
    <w:p w14:paraId="691BFD6D">
      <w:pPr>
        <w:numPr>
          <w:ilvl w:val="0"/>
          <w:numId w:val="2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b/>
          <w:sz w:val="28"/>
        </w:rPr>
        <w:t>计算复杂性</w:t>
      </w:r>
      <w:r>
        <w:rPr>
          <w:rFonts w:eastAsia="宋体"/>
          <w:sz w:val="28"/>
        </w:rPr>
        <w:t>：多层网络+复杂认知模块导致模型难以扩展至大规模人群（&gt;10万Agent）</w:t>
      </w:r>
    </w:p>
    <w:p w14:paraId="3FC9FB31">
      <w:pPr>
        <w:numPr>
          <w:ilvl w:val="0"/>
          <w:numId w:val="2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b/>
          <w:sz w:val="28"/>
        </w:rPr>
        <w:t>政策可解释性</w:t>
      </w:r>
      <w:r>
        <w:rPr>
          <w:rFonts w:eastAsia="宋体"/>
          <w:sz w:val="28"/>
        </w:rPr>
        <w:t>：深度强化学习Agent的"黑箱"决策与公共部门透明度要求存在张力</w:t>
      </w:r>
    </w:p>
    <w:p w14:paraId="782AAAFB">
      <w:pPr>
        <w:rPr>
          <w:rFonts w:eastAsia="宋体"/>
          <w:sz w:val="28"/>
        </w:rPr>
      </w:pPr>
      <w:r>
        <w:rPr>
          <w:rFonts w:eastAsia="宋体"/>
          <w:b/>
          <w:sz w:val="28"/>
        </w:rPr>
        <w:t>未来方向</w:t>
      </w:r>
      <w:r>
        <w:rPr>
          <w:rFonts w:eastAsia="宋体"/>
          <w:sz w:val="28"/>
        </w:rPr>
        <w:t>：</w:t>
      </w:r>
    </w:p>
    <w:p w14:paraId="4EE2787C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大语言模型（LLM）驱动的智能体</w:t>
      </w:r>
      <w:r>
        <w:rPr>
          <w:rFonts w:eastAsia="宋体"/>
          <w:sz w:val="28"/>
        </w:rPr>
        <w:t>：利用GPT-4等模型的社会推理能力，实现更自然的理论文本到代码的自动转译</w:t>
      </w:r>
    </w:p>
    <w:p w14:paraId="7403F249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数字孪生组织</w:t>
      </w:r>
      <w:r>
        <w:rPr>
          <w:rFonts w:eastAsia="宋体"/>
          <w:sz w:val="28"/>
        </w:rPr>
        <w:t>：构建与真实组织实时交互的ABM，支持"在线"管理实验</w:t>
      </w:r>
    </w:p>
    <w:p w14:paraId="6A500F16">
      <w:pPr>
        <w:numPr>
          <w:numId w:val="0"/>
        </w:numPr>
        <w:spacing w:before="0" w:after="0"/>
        <w:rPr>
          <w:rFonts w:eastAsia="宋体"/>
          <w:sz w:val="28"/>
        </w:rPr>
      </w:pPr>
      <w:r>
        <w:rPr>
          <w:rFonts w:eastAsia="宋体"/>
          <w:b/>
          <w:sz w:val="28"/>
        </w:rPr>
        <w:t>跨文化理论验证</w:t>
      </w:r>
      <w:r>
        <w:rPr>
          <w:rFonts w:eastAsia="宋体"/>
          <w:sz w:val="28"/>
        </w:rPr>
        <w:t>：比较TPB等理论在不同文化语境下的适用性，开发文化适应性Agent架构</w:t>
      </w:r>
    </w:p>
    <w:p w14:paraId="16F2F2B6">
      <w:pPr>
        <w:pStyle w:val="3"/>
        <w:rPr>
          <w:rFonts w:eastAsia="宋体"/>
          <w:sz w:val="28"/>
        </w:rPr>
      </w:pPr>
      <w:r>
        <w:rPr>
          <w:rFonts w:eastAsia="宋体"/>
          <w:sz w:val="28"/>
        </w:rPr>
        <w:t>六、参考文献链接</w:t>
      </w:r>
      <w:bookmarkStart w:id="0" w:name="_GoBack"/>
      <w:bookmarkEnd w:id="0"/>
    </w:p>
    <w:p w14:paraId="1ADB7DD9">
      <w:pPr>
        <w:numPr>
          <w:ilvl w:val="0"/>
          <w:numId w:val="3"/>
        </w:numPr>
        <w:bidi w:val="0"/>
        <w:rPr>
          <w:rStyle w:val="9"/>
          <w:rFonts w:eastAsia="宋体"/>
          <w:sz w:val="28"/>
        </w:rPr>
      </w:pPr>
      <w:r>
        <w:rPr>
          <w:rStyle w:val="9"/>
          <w:rFonts w:eastAsia="宋体"/>
          <w:sz w:val="28"/>
        </w:rPr>
        <w:fldChar w:fldCharType="begin"/>
      </w:r>
      <w:r>
        <w:rPr>
          <w:rStyle w:val="9"/>
          <w:rFonts w:eastAsia="宋体"/>
          <w:sz w:val="28"/>
        </w:rPr>
        <w:instrText xml:space="preserve"> HYPERLINK "https://www.mdpi.com/2071-1050/17/14/6382" </w:instrText>
      </w:r>
      <w:r>
        <w:rPr>
          <w:rStyle w:val="9"/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 Multiagent Simulation Framework for Smart Urban Mobility (Sustainability, 2025)</w:t>
      </w:r>
      <w:r>
        <w:rPr>
          <w:rStyle w:val="9"/>
          <w:rFonts w:eastAsia="宋体"/>
          <w:sz w:val="28"/>
        </w:rPr>
        <w:fldChar w:fldCharType="end"/>
      </w:r>
    </w:p>
    <w:p w14:paraId="0243B14C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"http://jasss.soc.surrey.ac.uk/21/1/14.html"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Computational Modelling of Public Policy: Reflections on Practice (JASSS, 2018)</w:t>
      </w:r>
      <w:r>
        <w:rPr>
          <w:rFonts w:eastAsia="宋体"/>
          <w:sz w:val="28"/>
        </w:rPr>
        <w:fldChar w:fldCharType="end"/>
      </w:r>
    </w:p>
    <w:p w14:paraId="40F41DCF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"https://www.mdpi.com/2071-1050/15/14/11428"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Agent-Based Modeling for Water–Energy–Food Nexus (Sustainability, 2023)</w:t>
      </w:r>
      <w:r>
        <w:rPr>
          <w:rFonts w:eastAsia="宋体"/>
          <w:sz w:val="28"/>
        </w:rPr>
        <w:fldChar w:fldCharType="end"/>
      </w:r>
    </w:p>
    <w:p w14:paraId="6F109607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"https://www.mdpi.com/2071-1050/16/18/8185"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Development of an Agent-Based Model to Evaluate Rural Public Policies in Medellín (Sustainability, 2024)</w:t>
      </w:r>
      <w:r>
        <w:rPr>
          <w:rFonts w:eastAsia="宋体"/>
          <w:sz w:val="28"/>
        </w:rPr>
        <w:fldChar w:fldCharType="end"/>
      </w:r>
    </w:p>
    <w:p w14:paraId="70F88EE9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"https://www.mdpi.com/2071-1050/16/12/5036"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From Individual Motivation to Geospatial Epidemiology: FCM and ABM Approach (Sustainability, 2024)</w:t>
      </w:r>
      <w:r>
        <w:rPr>
          <w:rFonts w:eastAsia="宋体"/>
          <w:sz w:val="28"/>
        </w:rPr>
        <w:fldChar w:fldCharType="end"/>
      </w:r>
    </w:p>
    <w:p w14:paraId="06037624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"https://www.mdpi.com/2071-1050/12/16/6672"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Visualized Co-Simulation of Adaptive Human Behavior and Dynamic Building Performance (Sustainability, 2020)</w:t>
      </w:r>
      <w:r>
        <w:rPr>
          <w:rFonts w:eastAsia="宋体"/>
          <w:sz w:val="28"/>
        </w:rPr>
        <w:fldChar w:fldCharType="end"/>
      </w:r>
    </w:p>
    <w:p w14:paraId="53AA5011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"https://www.sciopen.com/article/10.26599/BDMA.2024.9020042"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Data-Driven Agent-Based Model for Public Opinion Propagation Simulation in Cyberbullying (Big Data Mining and Analytics, 2024)</w:t>
      </w:r>
      <w:r>
        <w:rPr>
          <w:rFonts w:eastAsia="宋体"/>
          <w:sz w:val="28"/>
        </w:rPr>
        <w:fldChar w:fldCharType="end"/>
      </w:r>
    </w:p>
    <w:p w14:paraId="01BA3C04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"https://www.mdpi.com/2075-5309/13/7/1792"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 Study of the Foremen's Influence on the Safety Behavior of Construction Workers (Buildings, 2023)</w:t>
      </w:r>
      <w:r>
        <w:rPr>
          <w:rFonts w:eastAsia="宋体"/>
          <w:sz w:val="28"/>
        </w:rPr>
        <w:fldChar w:fldCharType="end"/>
      </w:r>
    </w:p>
    <w:p w14:paraId="67B66FFC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"https://www.sciencedirect.com/science/article/pii/S0198971519302261"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An agent-based model of public space use (Computers, Environment and Urban Systems, 2021)</w:t>
      </w:r>
      <w:r>
        <w:rPr>
          <w:rFonts w:eastAsia="宋体"/>
          <w:sz w:val="28"/>
        </w:rPr>
        <w:fldChar w:fldCharType="end"/>
      </w:r>
    </w:p>
    <w:p w14:paraId="0A323C88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"https://www.mdpi.com/2220-9964/12/6/209"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 Systematic Review of Multi-Scale Spatio-Temporal Crime Prediction Methods (ISPRS International Journal of Geo-Information, 2023)</w:t>
      </w:r>
      <w:r>
        <w:rPr>
          <w:rFonts w:eastAsia="宋体"/>
          <w:sz w:val="28"/>
        </w:rPr>
        <w:fldChar w:fldCharType="end"/>
      </w:r>
    </w:p>
    <w:p w14:paraId="415B804F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"https://incose.onlinelibrary.wiley.com/doi/10.1002/sys.70006"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Multi-Agent Reinforcement Learning Framework for Optimizing Smart Cities as System of Systems (Systems Engineering, 2025)</w:t>
      </w:r>
      <w:r>
        <w:rPr>
          <w:rFonts w:eastAsia="宋体"/>
          <w:sz w:val="28"/>
        </w:rPr>
        <w:fldChar w:fldCharType="end"/>
      </w:r>
    </w:p>
    <w:p w14:paraId="696904A9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"https://bus.sysu.edu.cn/qjm/sites/default/files/2026-02/02%E4%BA%BA%E5%B7%A5%E6%99%BA%E8%83%BD%E7%AE%A1%E7%90%86%E5%AD%A6%E7%A0%94%E7%A9%B6%E7%BB%BC%E8%BF%B0.pdf"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人工智能管理学研究综述：基于中英文文献的比较分析 (中山大学管理学院, 2024)</w:t>
      </w:r>
      <w:r>
        <w:rPr>
          <w:rFonts w:eastAsia="宋体"/>
          <w:sz w:val="28"/>
        </w:rPr>
        <w:fldChar w:fldCharType="end"/>
      </w:r>
    </w:p>
    <w:p w14:paraId="50B0C76E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"https://sbij.scholasticahq.com/article/138368"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Applying Agent-Based Modeling to Examine Business Strategies (Scholarly Publishing, 2025)</w:t>
      </w:r>
      <w:r>
        <w:rPr>
          <w:rFonts w:eastAsia="宋体"/>
          <w:sz w:val="28"/>
        </w:rPr>
        <w:fldChar w:fldCharType="end"/>
      </w:r>
    </w:p>
    <w:p w14:paraId="0E0CD726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"https://www.academia.edu/78980000/Agent_based_simulation_in_management_and_organizational_studies_a_survey"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Agent-based simulation in management and organizational studies: a survey (Academia, 2022)</w:t>
      </w:r>
      <w:r>
        <w:rPr>
          <w:rFonts w:eastAsia="宋体"/>
          <w:sz w:val="28"/>
        </w:rPr>
        <w:fldChar w:fldCharType="end"/>
      </w:r>
    </w:p>
    <w:p w14:paraId="173DEEFD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"https://www.sciencedirect.com/science/article/abs/pii/S0304380025002170"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Integrating the theory of planned behavior in agent-based models: A systematic review (Ecological Modelling, 2025)</w:t>
      </w:r>
      <w:r>
        <w:rPr>
          <w:rFonts w:eastAsia="宋体"/>
          <w:sz w:val="28"/>
        </w:rPr>
        <w:fldChar w:fldCharType="end"/>
      </w:r>
    </w:p>
    <w:p w14:paraId="79A11D41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"https://pdfs.semanticscholar.org/121b/60d6ff468012d3e264f1af89fbbca82b191f.pdf"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Applications of Agent Based Approaches in Business: A Three Essay Dissertation (Semantic Scholar)</w:t>
      </w:r>
      <w:r>
        <w:rPr>
          <w:rFonts w:eastAsia="宋体"/>
          <w:sz w:val="28"/>
        </w:rPr>
        <w:fldChar w:fldCharType="end"/>
      </w:r>
    </w:p>
    <w:p w14:paraId="61A32289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"https://simulation.tudelft.nl/SEN9110/results/Group02_Human%20Behavior%20Modeling%20in%20Urban%20Traffic%20Simulations.pdf"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Human Behavior Modeling in Urban Traffic Simulations (TU Delft)</w:t>
      </w:r>
      <w:r>
        <w:rPr>
          <w:rFonts w:eastAsia="宋体"/>
          <w:sz w:val="28"/>
        </w:rPr>
        <w:fldChar w:fldCharType="end"/>
      </w:r>
    </w:p>
    <w:p w14:paraId="5A14EDE3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"https://www.econstor.eu/bitstream/10419/190545/1/1019690313.pdf"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Agent-based simulation in management and organizational studies: a survey (Econstor, 2017)</w:t>
      </w:r>
      <w:r>
        <w:rPr>
          <w:rFonts w:eastAsia="宋体"/>
          <w:sz w:val="28"/>
        </w:rPr>
        <w:fldChar w:fldCharType="end"/>
      </w:r>
    </w:p>
    <w:p w14:paraId="5762A7DA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"https://www.jasss.org/21/4/5.html"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One Theory - Many Formalizations: Testing Different Implementations of TPB in ABMs (JASSS, 2018)</w:t>
      </w:r>
      <w:r>
        <w:rPr>
          <w:rFonts w:eastAsia="宋体"/>
          <w:sz w:val="28"/>
        </w:rPr>
        <w:fldChar w:fldCharType="end"/>
      </w:r>
    </w:p>
    <w:p w14:paraId="2FC558CC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"https://smythos.com/managers/ops/agent-based-modeling-in-policy-analysis/"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Agent-Based Modeling in Policy Analysis (SmythOS, 2025)</w:t>
      </w:r>
      <w:r>
        <w:rPr>
          <w:rFonts w:eastAsia="宋体"/>
          <w:sz w:val="28"/>
        </w:rPr>
        <w:fldChar w:fldCharType="end"/>
      </w:r>
    </w:p>
    <w:p w14:paraId="5990B817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"https://www.frontiersin.org/journals/water/articles/10.3389/frwa.2021.686329/full"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Integrating Behavioral Theories in Agent-Based Models for Agricultural Drought Risk Assessments (Frontiers in Water, 2021)</w:t>
      </w:r>
      <w:r>
        <w:rPr>
          <w:rFonts w:eastAsia="宋体"/>
          <w:sz w:val="28"/>
        </w:rPr>
        <w:fldChar w:fldCharType="end"/>
      </w:r>
    </w:p>
    <w:p w14:paraId="6B743126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"https://www.sciencedirect.com/science/article/abs/pii/S0167739X16300322"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Organizational-based model and agent-based simulation for long-term carpooling (Future Generation Computer Systems, 2018)</w:t>
      </w:r>
      <w:r>
        <w:rPr>
          <w:rFonts w:eastAsia="宋体"/>
          <w:sz w:val="28"/>
        </w:rPr>
        <w:fldChar w:fldCharType="end"/>
      </w:r>
    </w:p>
    <w:p w14:paraId="72C77A0B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"https://www.sciencedirect.com/science/article/abs/pii/S0378873320300757"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Positive Emotions, Instrumental Resources, and Organizational Network Evolution (Social Networks, 2022)</w:t>
      </w:r>
      <w:r>
        <w:rPr>
          <w:rFonts w:eastAsia="宋体"/>
          <w:sz w:val="28"/>
        </w:rPr>
        <w:fldChar w:fldCharType="end"/>
      </w:r>
    </w:p>
    <w:p w14:paraId="6422C45A">
      <w:pPr>
        <w:numPr>
          <w:ilvl w:val="0"/>
          <w:numId w:val="3"/>
        </w:numPr>
        <w:spacing w:before="0" w:after="0"/>
        <w:ind w:left="720" w:hanging="360"/>
        <w:rPr>
          <w:rFonts w:eastAsia="宋体"/>
          <w:sz w:val="28"/>
          <w:lang w:val="en-US" w:eastAsia="zh-CN"/>
        </w:rPr>
      </w:pPr>
      <w:r>
        <w:rPr>
          <w:rFonts w:eastAsia="宋体"/>
          <w:sz w:val="28"/>
        </w:rPr>
        <w:fldChar w:fldCharType="begin"/>
      </w:r>
      <w:r>
        <w:rPr>
          <w:rFonts w:eastAsia="宋体"/>
          <w:sz w:val="28"/>
        </w:rPr>
        <w:instrText xml:space="preserve"> HYPERLINK "https://www.frontiersin.org/journals/physics/articles/10.3389/fphy.2020.00058/full" </w:instrText>
      </w:r>
      <w:r>
        <w:rPr>
          <w:rFonts w:eastAsia="宋体"/>
          <w:sz w:val="28"/>
        </w:rPr>
        <w:fldChar w:fldCharType="separate"/>
      </w:r>
      <w:r>
        <w:rPr>
          <w:rStyle w:val="9"/>
          <w:rFonts w:eastAsia="宋体"/>
          <w:sz w:val="28"/>
        </w:rPr>
        <w:t>Public Goods Games on Coevolving Social Network Models (Frontiers in Physics, 2020)</w:t>
      </w:r>
      <w:r>
        <w:rPr>
          <w:rFonts w:eastAsia="宋体"/>
          <w:sz w:val="28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236D6"/>
    <w:multiLevelType w:val="singleLevel"/>
    <w:tmpl w:val="BC7236D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EACA5319"/>
    <w:multiLevelType w:val="singleLevel"/>
    <w:tmpl w:val="EACA531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548E46D5"/>
    <w:multiLevelType w:val="singleLevel"/>
    <w:tmpl w:val="548E46D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95B99"/>
    <w:rsid w:val="7929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2026-03-15T05:15:00Z</dcterms:created>
  <dc:creator>江边有个小桑树</dc:creator>
  <cp:lastModifiedBy>江边有个小桑树</cp:lastModifiedBy>
  <dcterms:modified xsi:type="dcterms:W3CDTF">2026-03-15T05:42:24Z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7D8285FBFC714996B2B7DEE1C4A3CB8B_11</vt:lpwstr>
  </property>
  <property fmtid="{D5CDD505-2E9C-101B-9397-08002B2CF9AE}" pid="4" name="KSOTemplateDocerSaveRecord">
    <vt:lpwstr>eyJoZGlkIjoiMTFlNzM2NTUzOGNmYzgxZGZlMDY2NDdiY2YyODg1NmIiLCJ1c2VySWQiOiIxMzg1NTc1ODUxIn0=</vt:lpwstr>
  </property>
</Properties>
</file>