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F36B5">
      <w:pPr>
        <w:jc w:val="center"/>
        <w:rPr>
          <w:rFonts w:hint="eastAsia" w:ascii="黑体" w:hAnsi="黑体" w:eastAsia="黑体" w:cs="黑体"/>
          <w:sz w:val="32"/>
          <w:szCs w:val="32"/>
        </w:rPr>
      </w:pPr>
      <w:r>
        <w:rPr>
          <w:rFonts w:hint="eastAsia" w:ascii="黑体" w:hAnsi="黑体" w:eastAsia="黑体" w:cs="黑体"/>
          <w:sz w:val="32"/>
          <w:szCs w:val="32"/>
        </w:rPr>
        <w:t>基于Agent的突发公共卫生事件防控政策模拟研究综述</w:t>
      </w:r>
    </w:p>
    <w:p w14:paraId="18722DF7">
      <w:pPr>
        <w:jc w:val="both"/>
        <w:rPr>
          <w:rFonts w:hint="eastAsia" w:ascii="宋体" w:hAnsi="宋体" w:eastAsia="宋体" w:cs="宋体"/>
          <w:sz w:val="24"/>
          <w:szCs w:val="24"/>
        </w:rPr>
      </w:pPr>
      <w:r>
        <w:rPr>
          <w:rFonts w:hint="eastAsia" w:ascii="黑体" w:hAnsi="黑体" w:eastAsia="黑体" w:cs="黑体"/>
          <w:sz w:val="24"/>
          <w:szCs w:val="24"/>
          <w:lang w:val="en-US" w:eastAsia="zh-CN"/>
        </w:rPr>
        <w:t>摘要</w:t>
      </w:r>
      <w:r>
        <w:rPr>
          <w:rFonts w:hint="eastAsia" w:ascii="宋体" w:hAnsi="宋体" w:eastAsia="宋体" w:cs="宋体"/>
          <w:sz w:val="24"/>
          <w:szCs w:val="24"/>
          <w:lang w:val="en-US" w:eastAsia="zh-CN"/>
        </w:rPr>
        <w:t>：</w:t>
      </w:r>
      <w:r>
        <w:rPr>
          <w:rFonts w:hint="eastAsia" w:ascii="宋体" w:hAnsi="宋体" w:eastAsia="宋体" w:cs="宋体"/>
          <w:sz w:val="24"/>
          <w:szCs w:val="24"/>
        </w:rPr>
        <w:t>突发公共卫生事件的复杂性与快速传播特性对传统防控政策模拟方法提出了挑战。基于智能体的模拟通过自下而上的建模方式，在刻画个体异质性、社会交互及政策反馈方面展现出独特优势。本文综述了ABM在突发公共卫生事件防控政策模拟领域的研究进展。该领域正经历两大范式转型，一是行为建模从“被动感染”的规则驱动向融合认知心理与社会学习的“主动响应”机制演进，二是政策分析从单一措施事后评估向多措并举动态优化与自动化决策支持拓展。在探讨模型信度与效度验证方法的基础上，本文指出当前研究面临验证校准复杂、数据获取与隐私保护困境、模型可解释性不足以及政策表征完整性缺失等核心挑战。</w:t>
      </w:r>
      <w:bookmarkStart w:id="0" w:name="_GoBack"/>
      <w:bookmarkEnd w:id="0"/>
    </w:p>
    <w:p w14:paraId="3AE3A172">
      <w:pPr>
        <w:rPr>
          <w:rFonts w:hint="eastAsia" w:ascii="黑体" w:hAnsi="黑体" w:eastAsia="黑体" w:cs="黑体"/>
          <w:sz w:val="32"/>
          <w:szCs w:val="32"/>
        </w:rPr>
      </w:pPr>
      <w:r>
        <w:rPr>
          <w:rFonts w:hint="eastAsia" w:ascii="黑体" w:hAnsi="黑体" w:eastAsia="黑体" w:cs="黑体"/>
          <w:sz w:val="32"/>
          <w:szCs w:val="32"/>
        </w:rPr>
        <w:t>1.引言</w:t>
      </w:r>
    </w:p>
    <w:p w14:paraId="5A44AFAE">
      <w:pPr>
        <w:ind w:firstLine="480" w:firstLineChars="200"/>
        <w:rPr>
          <w:rFonts w:hint="eastAsia" w:ascii="宋体" w:hAnsi="宋体" w:eastAsia="宋体" w:cs="宋体"/>
        </w:rPr>
      </w:pPr>
      <w:r>
        <w:rPr>
          <w:rFonts w:hint="eastAsia" w:ascii="宋体" w:hAnsi="宋体" w:eastAsia="宋体" w:cs="宋体"/>
        </w:rPr>
        <w:t>从新冠疫情等全球性公共卫生危机爆发以来，突发公共卫生事件的复杂性、不确定性与快速传播特性对各国的应急管理体系和防控政策制定提出了严峻的挑战。传统的传染病动力学模型，如SIR、SEIR，通过微分方程描述人群在宏观层面的平均行为，为理解疫情趋势提供了基础框架。然而，正如余昌仁等（余昌仁等，2024）和叶锺楠（叶锺楠，2021）所指出的，这类模型往往假设人群均匀混合，难以刻画个体行为的异质性、复杂的社会网络结构以及个体与政策环境之间的动态交互。这些被简化的因素，往往是决定防控政策实际效果的关键。基于智能体的模拟（Agent-Based Model,简写为ABM）通过构建具有自主性、社会性与反应性的智能体，能够还原个体行为决策、人际交互及政策响应的微观过程，为防控政策的制定、评估与优化提供科学支撑。</w:t>
      </w:r>
    </w:p>
    <w:p w14:paraId="67DA7EE9">
      <w:pPr>
        <w:rPr>
          <w:rFonts w:hint="eastAsia" w:ascii="黑体" w:hAnsi="黑体" w:eastAsia="黑体" w:cs="黑体"/>
          <w:sz w:val="32"/>
          <w:szCs w:val="32"/>
        </w:rPr>
      </w:pPr>
      <w:r>
        <w:rPr>
          <w:rFonts w:hint="eastAsia" w:ascii="黑体" w:hAnsi="黑体" w:eastAsia="黑体" w:cs="黑体"/>
          <w:sz w:val="32"/>
          <w:szCs w:val="32"/>
        </w:rPr>
        <w:t>2.ABM的核心特征</w:t>
      </w:r>
    </w:p>
    <w:p w14:paraId="1F7A8C68">
      <w:pPr>
        <w:ind w:firstLine="480" w:firstLineChars="200"/>
        <w:rPr>
          <w:rFonts w:hint="eastAsia" w:ascii="宋体" w:hAnsi="宋体" w:eastAsia="宋体" w:cs="宋体"/>
        </w:rPr>
      </w:pPr>
      <w:r>
        <w:rPr>
          <w:rFonts w:hint="eastAsia" w:ascii="宋体" w:hAnsi="宋体" w:eastAsia="宋体" w:cs="宋体"/>
        </w:rPr>
        <w:t>智能体的异质性。模型中的智能体被赋予独特属性与行为规则，如居民智能体的年龄、健康状态、出行偏好、防护意识，医院智能体的床位容量、收治策略，政府智能体的政策决策与资源调配能力。这种细分使得模型能够还原不同主体的差异化响应，如新冠疫情中轻症与重症患者的医疗需求差异、不同年龄段人群的疫苗接种意愿差异。</w:t>
      </w:r>
    </w:p>
    <w:p w14:paraId="6E31D019">
      <w:pPr>
        <w:ind w:firstLine="480" w:firstLineChars="200"/>
        <w:rPr>
          <w:rFonts w:hint="eastAsia" w:ascii="宋体" w:hAnsi="宋体" w:eastAsia="宋体" w:cs="宋体"/>
        </w:rPr>
      </w:pPr>
      <w:r>
        <w:rPr>
          <w:rFonts w:hint="eastAsia" w:ascii="宋体" w:hAnsi="宋体" w:eastAsia="宋体" w:cs="宋体"/>
        </w:rPr>
        <w:t>动态交互机制。智能体间通过预设规则实现多维度互动，包括居民间的接触感染、政府与居民的政策传导、医院与患者的救治匹配等。交互规则既包括基于距离依赖的传染机制，也包括政策干预下的行为调整，从而动态呈现疫情传播与政策响应的耦合关系。</w:t>
      </w:r>
    </w:p>
    <w:p w14:paraId="42586C4A">
      <w:pPr>
        <w:ind w:firstLine="480" w:firstLineChars="200"/>
        <w:rPr>
          <w:rFonts w:hint="eastAsia" w:ascii="宋体" w:hAnsi="宋体" w:eastAsia="宋体" w:cs="宋体"/>
        </w:rPr>
      </w:pPr>
      <w:r>
        <w:rPr>
          <w:rFonts w:hint="eastAsia" w:ascii="宋体" w:hAnsi="宋体" w:eastAsia="宋体" w:cs="宋体"/>
        </w:rPr>
        <w:t>多尺度情景构建。模型可整合地理空间信息、人口统计学数据、医疗资源分布等多源数据，支持从社区到城市乃至区域尺度的政策模拟。通过参数调整和情景设定，能够模拟无管控、单一政策、综合防控等不同场景下的疫情演化，为政策效果对比提供实验环境。</w:t>
      </w:r>
    </w:p>
    <w:p w14:paraId="486D83E8">
      <w:pPr>
        <w:rPr>
          <w:rFonts w:hint="eastAsia" w:ascii="黑体" w:hAnsi="黑体" w:eastAsia="黑体" w:cs="黑体"/>
          <w:sz w:val="32"/>
          <w:szCs w:val="32"/>
        </w:rPr>
      </w:pPr>
      <w:r>
        <w:rPr>
          <w:rFonts w:hint="eastAsia" w:ascii="黑体" w:hAnsi="黑体" w:eastAsia="黑体" w:cs="黑体"/>
          <w:sz w:val="32"/>
          <w:szCs w:val="32"/>
        </w:rPr>
        <w:t>3.ABM在公共卫生模拟的优势</w:t>
      </w:r>
    </w:p>
    <w:p w14:paraId="09AC558A">
      <w:pPr>
        <w:ind w:firstLine="480" w:firstLineChars="200"/>
        <w:rPr>
          <w:rFonts w:hint="eastAsia" w:ascii="宋体" w:hAnsi="宋体" w:eastAsia="宋体" w:cs="宋体"/>
        </w:rPr>
      </w:pPr>
      <w:r>
        <w:rPr>
          <w:rFonts w:hint="eastAsia" w:ascii="宋体" w:hAnsi="宋体" w:eastAsia="宋体" w:cs="宋体"/>
        </w:rPr>
        <w:t>Cassidy等人（Cassidy et al., 2019）的系统综述对系统动力学（SDM）和ABM在卫生系统研究中的应用进行了系统比较。SDM采用“自上而下”的宏观视角，通过存量和流量模拟系统中实体的流动与时间变化，刻画系统的反馈回路；而ABM则采用“自下而上”的微观视角，通过模拟个体的行为和交互来研究宏观现象的生成机制。两者互为补充，但ABM在一些方面具有独特优势。其一，ABM允许研究者为每个智能体赋予独特的属性，从而模拟政策在不同人群中的差异化影响。其二，政策的传播和效果往往通过社会网络实现。无论是新技术的采纳，还是对防疫规定的遵从，都受到邻居、朋友或同事的影响。ABM可以显式地建模社会网络，让信息、态度和行为在智能体间传播。其三，ABM能够展示微观互动如何导致意想不到的宏观现象，如政策的“挤出效应”或“雪崩效应”，并能模拟政策效果与个体行为改变之间的动态反馈。</w:t>
      </w:r>
    </w:p>
    <w:p w14:paraId="7EBB51FC">
      <w:pPr>
        <w:rPr>
          <w:rFonts w:hint="eastAsia" w:ascii="黑体" w:hAnsi="黑体" w:eastAsia="黑体" w:cs="黑体"/>
          <w:sz w:val="32"/>
          <w:szCs w:val="32"/>
        </w:rPr>
      </w:pPr>
      <w:r>
        <w:rPr>
          <w:rFonts w:hint="eastAsia" w:ascii="黑体" w:hAnsi="黑体" w:eastAsia="黑体" w:cs="黑体"/>
          <w:sz w:val="32"/>
          <w:szCs w:val="32"/>
        </w:rPr>
        <w:t>4.研究进展</w:t>
      </w:r>
    </w:p>
    <w:p w14:paraId="636C79CF">
      <w:pPr>
        <w:rPr>
          <w:rFonts w:hint="eastAsia" w:ascii="黑体" w:hAnsi="黑体" w:eastAsia="黑体" w:cs="黑体"/>
          <w:sz w:val="28"/>
          <w:szCs w:val="28"/>
        </w:rPr>
      </w:pPr>
      <w:r>
        <w:rPr>
          <w:rFonts w:hint="eastAsia" w:ascii="黑体" w:hAnsi="黑体" w:eastAsia="黑体" w:cs="黑体"/>
          <w:sz w:val="28"/>
          <w:szCs w:val="28"/>
        </w:rPr>
        <w:t>4.1从“被动感染”到“主动响应”</w:t>
      </w:r>
    </w:p>
    <w:p w14:paraId="783D8EC4">
      <w:pPr>
        <w:ind w:firstLine="480" w:firstLineChars="200"/>
      </w:pPr>
      <w:r>
        <w:rPr>
          <w:rFonts w:hint="eastAsia" w:ascii="宋体" w:hAnsi="宋体" w:eastAsia="宋体" w:cs="宋体"/>
        </w:rPr>
        <w:t>早期ABM研究中，居民智能体多处于“被动感染”状态，行为规则相对简单。近年来研究逐渐聚焦智能体的“主动响应”行为建模，推动从单一感染逻辑向多元决策机制拓展。研究致力于更贴近现实地还原个体活动。张琦（张琦，2024）定义了居民的“移动行为规则”，包括出行意愿、常住区域等参数，通过有限状态机模拟日常移动。余昌仁等（余昌仁等，2024）的研究也表明，人群移动范围是影响传播规模的关键因素。在更高精度的模型方面如PanSim，则以10分钟为步长，模拟18万智能体在8.1万个地点的活动轨迹，构建了逼真的城市微观动态（Polcz et al.）。研究进一步将个体的心理和学习能力纳入模型。Aoki和Ghaffarzadegan引入“行为适应”模块，使公众能根据感知风险自发调整防护行为，形成“病例增加—公众谨慎”的负反馈循环。Mitsopoulos等人（Mitsopoulos et al., 2025）基于认知心理学中的ACT-R理论和基于实例的学习（IBL）理论，构建了智能体的决策核心（CogIBL模型）。每个Agent的“记忆”中存储着过往的决策经验，当面临新决策时，Agent可根据当前情境与记忆中过往经验的相似性，动态检索和激活相关记忆，通过“混合”机制形成对当前行为的预期效用。这种机制模拟了人类基于经验和情境的有限理性决策，使Agent的行为具有了时间上的连续性和情境依赖性。Xu等人（Xu et al., 2025）开发的EpiPlanAgent则模拟了“决策者”智能体的行为，通过任务分解和知识检索生成标准化应急预案，有助于将模拟对象从个体行为拓展至组织决策层面。</w:t>
      </w:r>
    </w:p>
    <w:p w14:paraId="0394C7DA">
      <w:pPr>
        <w:rPr>
          <w:rFonts w:hint="eastAsia" w:ascii="黑体" w:hAnsi="黑体" w:eastAsia="黑体" w:cs="黑体"/>
          <w:sz w:val="28"/>
          <w:szCs w:val="28"/>
        </w:rPr>
      </w:pPr>
      <w:r>
        <w:rPr>
          <w:rFonts w:hint="eastAsia" w:ascii="黑体" w:hAnsi="黑体" w:eastAsia="黑体" w:cs="黑体"/>
          <w:sz w:val="28"/>
          <w:szCs w:val="28"/>
        </w:rPr>
        <w:t>4.2从政策效果评估到动态优化决策</w:t>
      </w:r>
    </w:p>
    <w:p w14:paraId="16AEE3CC">
      <w:pPr>
        <w:ind w:firstLine="480" w:firstLineChars="200"/>
        <w:rPr>
          <w:rFonts w:hint="eastAsia" w:ascii="宋体" w:hAnsi="宋体" w:eastAsia="宋体" w:cs="宋体"/>
        </w:rPr>
      </w:pPr>
      <w:r>
        <w:rPr>
          <w:rFonts w:hint="eastAsia" w:ascii="宋体" w:hAnsi="宋体" w:eastAsia="宋体" w:cs="宋体"/>
        </w:rPr>
        <w:t>ABM在政策模拟中的应用从传统的事后效果评估，向政策设计、优化与前瞻预测发展，形成了多维度的政策表征体系与优化路径。大量研究通过控制变量法评估单一政策效果。项凤涛等人（项凤涛等，2023）在NetLogo平台上系统分析了病毒传染力、潜伏期长度、人口走动方式等因素对疫情传播的影响。张琦（张琦，2024）的实验表明，严格禁止出行在疫情早期效果最显著；佩戴口罩和保持社交距离虽不能完全阻断传播，但能有效延缓感染高峰，为医疗系统争取时间；而方舱医院的加入能大幅降低死亡率，凸显了医疗资源扩容的关键作用。现实防控往往是多措并举且需动态调整。张琦（张琦，2024）对比“直接放开”与“逐步放开”管控的后果，发现疫情清零后直接放开会导致疫情反弹，而逐步放开则能有效控制第二波疫情，凸显了政策退出路径设计的重要性。Aoki和Ghaffarzadegan（Aoki &amp; Ghaffarzadegan, 2025）将生成式AI智能体嵌入流行病模拟模型，使其扮演每周决策封锁强度的“市长”，基于数据和记忆动态优化决策。研究发现，向AI智能体灌输“流行病反馈循环”的系统知识后，其政策决策的质量和稳定性均显著提升。Polcz等人（Polcz et al., 2025）则通过模型预测控制（MPC）与ABM耦合，实现了对六种干预措施的自动化寻优。Xu等人（Xu et al., 2025）的EpiPlanAgent代表了另一方向。该系统通过大型语言模型驱动的多智能体协作，能在平均1.5分钟内生成符合国家指南的结构化应急响应任务清单，将标准化响应策略直接转化为可执行行动计划。</w:t>
      </w:r>
    </w:p>
    <w:p w14:paraId="49D53441">
      <w:pPr>
        <w:rPr>
          <w:rFonts w:hint="eastAsia" w:ascii="黑体" w:hAnsi="黑体" w:eastAsia="黑体" w:cs="黑体"/>
          <w:sz w:val="28"/>
          <w:szCs w:val="28"/>
        </w:rPr>
      </w:pPr>
      <w:r>
        <w:rPr>
          <w:rFonts w:hint="eastAsia" w:ascii="黑体" w:hAnsi="黑体" w:eastAsia="黑体" w:cs="黑体"/>
          <w:sz w:val="28"/>
          <w:szCs w:val="28"/>
        </w:rPr>
        <w:t>4.3模型的信度与效用</w:t>
      </w:r>
    </w:p>
    <w:p w14:paraId="72E3BE87">
      <w:pPr>
        <w:ind w:firstLine="480" w:firstLineChars="200"/>
        <w:rPr>
          <w:rFonts w:hint="eastAsia" w:ascii="宋体" w:hAnsi="宋体" w:eastAsia="宋体" w:cs="宋体"/>
        </w:rPr>
      </w:pPr>
      <w:r>
        <w:rPr>
          <w:rFonts w:hint="eastAsia" w:ascii="宋体" w:hAnsi="宋体" w:eastAsia="宋体" w:cs="宋体"/>
        </w:rPr>
        <w:t>要让ABM真正服务于公共决策，其信度与效用需要系统审视。模型验证主要通过真实数据拟合实现，常用案例包括特定区域疫情数据与经典疫情事件复盘。</w:t>
      </w:r>
    </w:p>
    <w:p w14:paraId="2AE1E0D6">
      <w:pPr>
        <w:ind w:firstLine="480" w:firstLineChars="200"/>
        <w:rPr>
          <w:rFonts w:hint="eastAsia" w:ascii="宋体" w:hAnsi="宋体" w:eastAsia="宋体" w:cs="宋体"/>
        </w:rPr>
      </w:pPr>
      <w:r>
        <w:rPr>
          <w:rFonts w:hint="eastAsia" w:ascii="宋体" w:hAnsi="宋体" w:eastAsia="宋体" w:cs="宋体"/>
        </w:rPr>
        <w:t>Cassidy等人（Cassidy et al., 2019）的综述系统梳理了验证方法，包括行为有效性检验，如输出与历史数据、专家判断对比和结构有效性检验，如极端条件测试、参数敏感性分析等。叶锺楠（叶锺楠，2021）通过将模拟的武汉疫情持续时间和空间分布与官方统计对比，验证了模型对疫情扩散持续时间和感染节点数量的预测准确性。张琦（张琦，2024）使用“钻石公主号”邮轮数据进行了外部验证，模拟曲线与实际数据拟合良好。多个团队还开发了专门的仿真平台。朱一凡等人（朱一凡等，2011）从系统架构角度设计了重大疾病传染仿真系统的总体框架、体系结构和逻辑结构。Ghorbani等人（Ghorbani et al., 2025）开发的FACS模型，集成了地理空间数据，通过FabSim3实现高性能自动化并行运行，代码已在GitHub开源。Polcz等人（Polcz et al., 2025）开发的PanSim同样开源，其模块化设计允许根据不同病毒变种快速调整参数。</w:t>
      </w:r>
    </w:p>
    <w:p w14:paraId="280F8BDA">
      <w:pPr>
        <w:rPr>
          <w:rFonts w:hint="eastAsia" w:ascii="黑体" w:hAnsi="黑体" w:eastAsia="黑体" w:cs="黑体"/>
          <w:sz w:val="32"/>
          <w:szCs w:val="32"/>
        </w:rPr>
      </w:pPr>
      <w:r>
        <w:rPr>
          <w:rFonts w:hint="eastAsia" w:ascii="黑体" w:hAnsi="黑体" w:eastAsia="黑体" w:cs="黑体"/>
          <w:sz w:val="32"/>
          <w:szCs w:val="32"/>
        </w:rPr>
        <w:t>5.挑战</w:t>
      </w:r>
    </w:p>
    <w:p w14:paraId="41CC55A2">
      <w:pPr>
        <w:ind w:firstLine="480" w:firstLineChars="200"/>
        <w:rPr>
          <w:rFonts w:hint="eastAsia" w:ascii="宋体" w:hAnsi="宋体" w:eastAsia="宋体" w:cs="宋体"/>
        </w:rPr>
      </w:pPr>
      <w:r>
        <w:rPr>
          <w:rFonts w:hint="eastAsia" w:ascii="宋体" w:hAnsi="宋体" w:eastAsia="宋体" w:cs="宋体"/>
        </w:rPr>
        <w:t>尽管ABM在公共卫生政策模拟领域展现出巨大潜力，但当前研究仍面临挑战。</w:t>
      </w:r>
    </w:p>
    <w:p w14:paraId="4CF1D3E3">
      <w:pPr>
        <w:rPr>
          <w:rFonts w:hint="eastAsia" w:ascii="宋体" w:hAnsi="宋体" w:eastAsia="宋体" w:cs="宋体"/>
        </w:rPr>
      </w:pPr>
      <w:r>
        <w:rPr>
          <w:rFonts w:hint="eastAsia" w:ascii="宋体" w:hAnsi="宋体" w:eastAsia="宋体" w:cs="宋体"/>
        </w:rPr>
        <w:t>模型的验证与校准是难题之一。Tracy等人（Tracy et al., 2018）指出，由于ABM包含大量参数和复杂行为规则，其验证远比传统统计模型复杂。当实证数据（尤其是社交网络数据）稀缺时，如何确保模型的可靠性是亟待解决的问题。Cassidy等人（Cassidy et al., 2019）的综述也发现，多数研究依赖行为有效性测试，而对模型结构有效性的检验相对不足。数据获取与隐私保护是另一大挑战。ABM的构建高度依赖人口学、社交网络、个体移动等数据。张琦（张琦，2024）指出，模型的准确性很大程度上受限于可用数据的质量。Tucker和Lorig（Tucker &amp; Lorig, 2024）提出的“日常数字健康”视角，主张挖掘整合各类已有数字健康相关数据与日常层面的自然产生数据，并结合领域专家知识驱动模型构建，为解决ABSS建模中的数据匮乏问题提供了新思路。模型复杂性与可解释性的平衡也是必须面对的难题。如何在模型的现实性与可解释性之间取得平衡，是将模拟结果有效传达给非专业决策者的关键。Ghorbani等人（Ghorbani et al., 2025）强调，通过结构化的报告、直观的可视化以及与利益相关者的密切合作，是连接模型与政策的重要桥梁。政策表征的完整性不足，现有研究多聚焦单一或组合防控措施，对政策实施中的执行偏差、公众接受度等因素考虑较少。并且嵌入不透明AI模块的复杂模型可能难以解释，对追求透明问责的公共政策领域构成潜在风险。</w:t>
      </w:r>
    </w:p>
    <w:p w14:paraId="1C830421"/>
    <w:p w14:paraId="262B52D4">
      <w:pPr>
        <w:rPr>
          <w:rFonts w:hint="eastAsia" w:ascii="黑体" w:hAnsi="黑体" w:eastAsia="黑体" w:cs="黑体"/>
          <w:sz w:val="32"/>
          <w:szCs w:val="32"/>
        </w:rPr>
      </w:pPr>
      <w:r>
        <w:rPr>
          <w:rFonts w:hint="eastAsia" w:ascii="黑体" w:hAnsi="黑体" w:eastAsia="黑体" w:cs="黑体"/>
          <w:sz w:val="32"/>
          <w:szCs w:val="32"/>
        </w:rPr>
        <w:t>参考文献：</w:t>
      </w:r>
    </w:p>
    <w:p w14:paraId="7FB18922">
      <w:pPr>
        <w:numPr>
          <w:ilvl w:val="0"/>
          <w:numId w:val="1"/>
        </w:numPr>
      </w:pPr>
      <w:r>
        <w:t>Hybrid Multi-threaded Simulation of Agent-Based Pandemic Modeling using Multiple GPUs[], 2015.</w:t>
      </w:r>
    </w:p>
    <w:p w14:paraId="67F785B1">
      <w:pPr>
        <w:numPr>
          <w:ilvl w:val="0"/>
          <w:numId w:val="1"/>
        </w:numPr>
      </w:pPr>
      <w:r>
        <w:t>余昌仁,王杨,李天龙.基于Agent的城市突发公共卫生事件传播仿真研究[J].系统仿真技术,2024,20(03):307-312.DOI:10.16812/j.cnki.cn31-1945.2024.03.006.</w:t>
      </w:r>
    </w:p>
    <w:p w14:paraId="2E05C7BC">
      <w:pPr>
        <w:numPr>
          <w:ilvl w:val="0"/>
          <w:numId w:val="1"/>
        </w:numPr>
      </w:pPr>
      <w:r>
        <w:t>朱一凡,梅珊,郑涛,等.基于AGENT建模的重大疾病传染仿真系统分析[J].系统仿真学报,2011,23(11):2505-2511+2517.DOI:10.16182/j.cnki.joss.2011.11.023.</w:t>
      </w:r>
    </w:p>
    <w:p w14:paraId="5CC16CD3">
      <w:pPr>
        <w:numPr>
          <w:ilvl w:val="0"/>
          <w:numId w:val="1"/>
        </w:numPr>
      </w:pPr>
      <w:r>
        <w:t>Polcz P ,Reguly Z I ,Tornai K , et al.Smart epidemic control: A hybrid model blending ODEs and agent-based simulations for optimal, real-world intervention planning.[J].PLoS computational biology,2025,21(5):e1013028.DOI:10.1371/JOURNAL.PCBI.1013028.</w:t>
      </w:r>
    </w:p>
    <w:p w14:paraId="25AB3FDA">
      <w:pPr>
        <w:numPr>
          <w:ilvl w:val="0"/>
          <w:numId w:val="1"/>
        </w:numPr>
      </w:pPr>
      <w:r>
        <w:t>Rachel C ,S N S ,Pierre-Raphaël S , et al.Mathematical modelling for health systems research: a systematic review of system dynamics and agent-based models.[J].BMC health services research,2019,19(1):845.DOI:10.1186/s12913-019-4627-7.</w:t>
      </w:r>
    </w:p>
    <w:p w14:paraId="12FD797F">
      <w:pPr>
        <w:numPr>
          <w:ilvl w:val="0"/>
          <w:numId w:val="1"/>
        </w:numPr>
      </w:pPr>
      <w:r>
        <w:t>叶锺楠.流行病在城市空间中的传播模拟——以新型冠状病毒(COVID-19)疫情期间的武汉市主城区为例[J].南方建筑,2021,(04):1-7.</w:t>
      </w:r>
    </w:p>
    <w:p w14:paraId="5CC1A559">
      <w:pPr>
        <w:numPr>
          <w:ilvl w:val="0"/>
          <w:numId w:val="1"/>
        </w:numPr>
      </w:pPr>
      <w:r>
        <w:t>杨毅,郑然,刘月,等.近10年突发公共卫生事件应急协同研究进展[J].中国安全科学学报,2025,35(11):253-262.DOI:10.16265/j.cnki.issn1003-3033.2025.11.1675.</w:t>
      </w:r>
    </w:p>
    <w:p w14:paraId="7A765D8F">
      <w:pPr>
        <w:numPr>
          <w:ilvl w:val="0"/>
          <w:numId w:val="1"/>
        </w:numPr>
      </w:pPr>
      <w:r>
        <w:t>AI Agents as Policymakers in Simulated Epidemics[J].arXiv, 2026.</w:t>
      </w:r>
    </w:p>
    <w:p w14:paraId="607790F6">
      <w:pPr>
        <w:numPr>
          <w:ilvl w:val="0"/>
          <w:numId w:val="1"/>
        </w:numPr>
      </w:pPr>
      <w:r>
        <w:t>Research on the spread and countermeasures of COVID-19 using agent-based modeling[J].智能科学与技术学报, 2023,5(1):51-57.</w:t>
      </w:r>
    </w:p>
    <w:p w14:paraId="1991DCE0">
      <w:pPr>
        <w:numPr>
          <w:ilvl w:val="0"/>
          <w:numId w:val="1"/>
        </w:numPr>
      </w:pPr>
      <w:r>
        <w:t>EpiPlanAgent: Agentic Automated Epidemic Response Planning[J].arXiv, 2025.</w:t>
      </w:r>
    </w:p>
    <w:p w14:paraId="3D6FC188">
      <w:pPr>
        <w:numPr>
          <w:ilvl w:val="0"/>
          <w:numId w:val="1"/>
        </w:numPr>
      </w:pPr>
      <w:r>
        <w:rPr>
          <w:rFonts w:hint="eastAsia"/>
        </w:rPr>
        <w:t>M. Ghorbani et al., "Evaluating Epidemic Scenarios with Agent-Based Simulation: A Case Study from UK Public Health Workshop," 2025 Winter Simulation Conference (WSC), Seattle, WA, USA, 2025, pp. 965-976, doi: 10.1109/WSC68292.2025.11339017.</w:t>
      </w:r>
    </w:p>
    <w:p w14:paraId="0833AE62">
      <w:pPr>
        <w:numPr>
          <w:ilvl w:val="0"/>
          <w:numId w:val="1"/>
        </w:numPr>
      </w:pPr>
      <w:r>
        <w:t>Tucker J and Lorig F (2024) Agent-based social simulations for health crises response: utilising the everyday digital health perspective. Front. Public Health 11:1337151. doi: 10.3389/fpubh.2023.1337151</w:t>
      </w:r>
    </w:p>
    <w:p w14:paraId="4A377324">
      <w:pPr>
        <w:numPr>
          <w:ilvl w:val="0"/>
          <w:numId w:val="1"/>
        </w:numPr>
      </w:pPr>
      <w:r>
        <w:t xml:space="preserve">Melissa Tracy, Magdalena Cerdá, Katherine M. Keyes. 2018. Agent-Based Modeling in Public Health: Current Applications and Future Directions. Annual Review Public Health. 39:77-94. </w:t>
      </w:r>
    </w:p>
    <w:p w14:paraId="6EEFEFAA">
      <w:pPr>
        <w:numPr>
          <w:ilvl w:val="0"/>
          <w:numId w:val="1"/>
        </w:numPr>
      </w:pPr>
      <w:r>
        <w:t>Cognitively-plausible reinforcement learning in epidemiological agent-based simulations[J].Frontiers in Epidemiology, 2025,5.</w:t>
      </w:r>
    </w:p>
    <w:p w14:paraId="76F609D6">
      <w:pPr>
        <w:numPr>
          <w:ilvl w:val="0"/>
          <w:numId w:val="1"/>
        </w:numPr>
      </w:pPr>
      <w:r>
        <w:t>Disease Simulation in Airport Scenario Based on Individual Mobility Model[J].ACM Transactions on Intelligent Systems and Technology, 2023,14(5):1-24.</w:t>
      </w:r>
    </w:p>
    <w:p w14:paraId="55E816D7">
      <w:pPr>
        <w:numPr>
          <w:ilvl w:val="0"/>
          <w:numId w:val="1"/>
        </w:numPr>
        <w:rPr>
          <w:rFonts w:hint="eastAsia"/>
        </w:rPr>
      </w:pPr>
      <w:r>
        <w:t>张琦.基于智能体的新冠疫情管控策略研究[D].天津农学院,2024.DOI:10.27717/d.cnki.gtjnx.2024.000102.</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1846E1"/>
    <w:multiLevelType w:val="singleLevel"/>
    <w:tmpl w:val="241846E1"/>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262F33"/>
    <w:rsid w:val="003E1AC6"/>
    <w:rsid w:val="009D1A8C"/>
    <w:rsid w:val="00D54AFD"/>
    <w:rsid w:val="02691939"/>
    <w:rsid w:val="1A736693"/>
    <w:rsid w:val="21222FD3"/>
    <w:rsid w:val="25A91F14"/>
    <w:rsid w:val="35F970CD"/>
    <w:rsid w:val="4CC96874"/>
    <w:rsid w:val="67A34B94"/>
    <w:rsid w:val="68262F33"/>
    <w:rsid w:val="6E4A0A40"/>
    <w:rsid w:val="71AE6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1"/>
    <w:basedOn w:val="1"/>
    <w:next w:val="1"/>
    <w:qFormat/>
    <w:uiPriority w:val="0"/>
    <w:pPr>
      <w:spacing w:beforeAutospacing="1" w:afterAutospacing="1"/>
      <w:outlineLvl w:val="0"/>
    </w:pPr>
    <w:rPr>
      <w:rFonts w:hint="eastAsia" w:ascii="宋体" w:hAnsi="宋体" w:eastAsia="宋体"/>
      <w:b/>
      <w:bCs/>
      <w:kern w:val="44"/>
      <w:sz w:val="48"/>
      <w:szCs w:val="48"/>
    </w:rPr>
  </w:style>
  <w:style w:type="paragraph" w:styleId="3">
    <w:name w:val="heading 3"/>
    <w:basedOn w:val="1"/>
    <w:next w:val="1"/>
    <w:semiHidden/>
    <w:unhideWhenUsed/>
    <w:qFormat/>
    <w:uiPriority w:val="0"/>
    <w:pPr>
      <w:spacing w:beforeAutospacing="1" w:afterAutospacing="1"/>
      <w:outlineLvl w:val="2"/>
    </w:pPr>
    <w:rPr>
      <w:rFonts w:hint="eastAsia" w:ascii="宋体" w:hAnsi="宋体" w:eastAsia="宋体"/>
      <w:b/>
      <w:bCs/>
      <w:sz w:val="27"/>
      <w:szCs w:val="27"/>
    </w:rPr>
  </w:style>
  <w:style w:type="paragraph" w:styleId="4">
    <w:name w:val="heading 4"/>
    <w:basedOn w:val="1"/>
    <w:next w:val="1"/>
    <w:semiHidden/>
    <w:unhideWhenUsed/>
    <w:qFormat/>
    <w:uiPriority w:val="0"/>
    <w:pPr>
      <w:spacing w:beforeAutospacing="1" w:afterAutospacing="1"/>
      <w:outlineLvl w:val="3"/>
    </w:pPr>
    <w:rPr>
      <w:rFonts w:hint="eastAsia" w:ascii="宋体" w:hAnsi="宋体" w:eastAsia="宋体"/>
      <w:b/>
      <w:bCs/>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5">
    <w:name w:val="Normal (Web)"/>
    <w:basedOn w:val="1"/>
    <w:qFormat/>
    <w:uiPriority w:val="0"/>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3642</Words>
  <Characters>5718</Characters>
  <Lines>98</Lines>
  <Paragraphs>38</Paragraphs>
  <TotalTime>26</TotalTime>
  <ScaleCrop>false</ScaleCrop>
  <LinksUpToDate>false</LinksUpToDate>
  <CharactersWithSpaces>5948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2026-03-12T06:19:00Z</dcterms:created>
  <dc:creator>WPS_1726875727</dc:creator>
  <cp:lastModifiedBy>WPS_1726875727</cp:lastModifiedBy>
  <dcterms:modified xsi:type="dcterms:W3CDTF">2026-03-19T12:35:37Z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8ADD67FAB54241B4AD27322D28D4580D_11</vt:lpwstr>
  </property>
  <property fmtid="{D5CDD505-2E9C-101B-9397-08002B2CF9AE}" pid="4" name="KSOTemplateDocerSaveRecord">
    <vt:lpwstr>eyJoZGlkIjoiYWM1OTRkZTY1OWJkY2U4NjlmZjAwYWQwZjZjMzE2ZDciLCJ1c2VySWQiOiIxNjM4ODg1ODgxIn0=</vt:lpwstr>
  </property>
</Properties>
</file>