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F15B0">
      <w:pPr>
        <w:pStyle w:val="28"/>
        <w:keepLines w:val="0"/>
        <w:pageBreakBefore/>
        <w:kinsoku/>
        <w:wordWrap/>
        <w:overflowPunct/>
        <w:topLinePunct w:val="0"/>
        <w:autoSpaceDE/>
        <w:autoSpaceDN/>
        <w:bidi w:val="0"/>
        <w:snapToGrid/>
        <w:spacing w:line="360" w:lineRule="auto"/>
        <w:textAlignment w:val="auto"/>
        <w:outlineLvl w:val="9"/>
      </w:pPr>
      <w:r>
        <w:rPr>
          <w:rFonts w:hint="eastAsia"/>
          <w:lang w:val="en-US" w:eastAsia="zh-CN"/>
        </w:rPr>
        <w:t xml:space="preserve">  </w:t>
      </w:r>
      <w:r>
        <w:t>社会规范与集体行动的ABM模拟研究：理论脉络、前沿进展与未来展望</w:t>
      </w:r>
    </w:p>
    <w:p w14:paraId="57E8DA83">
      <w:pPr>
        <w:pStyle w:val="26"/>
        <w:keepLines w:val="0"/>
        <w:kinsoku/>
        <w:wordWrap/>
        <w:overflowPunct/>
        <w:topLinePunct w:val="0"/>
        <w:autoSpaceDE/>
        <w:autoSpaceDN/>
        <w:bidi w:val="0"/>
        <w:snapToGrid/>
        <w:spacing w:line="360" w:lineRule="auto"/>
        <w:ind w:firstLine="0" w:firstLineChars="0"/>
        <w:textAlignment w:val="auto"/>
      </w:pPr>
      <w:r>
        <w:rPr>
          <w:rStyle w:val="24"/>
          <w:rFonts w:hint="eastAsia"/>
          <w:lang w:eastAsia="zh-CN"/>
        </w:rPr>
        <w:t>摘要：</w:t>
      </w:r>
      <w:r>
        <w:rPr>
          <w:rFonts w:hint="eastAsia" w:ascii="Times New Roman" w:hAnsi="Times New Roman" w:eastAsia="宋体" w:cs="Times New Roman"/>
          <w:sz w:val="24"/>
          <w:szCs w:val="24"/>
        </w:rPr>
        <w:t>基于主体建模为理解社会规范的形成与集体行动的涌现提供了独特的研究工具。本文系统梳理了国内外ABM模拟在该领域的理论演进与方法论发展。首先回顾ABM从“因素”到“行动者”的方法论革命及其机制解释模式；继而沿着博弈论路径、社会-生态系统建模两条主线综述经典与前沿成果。为展示ABM在现实问题中的应用价值，本文整合四项真实研究成果，构建了一个农村灌溉系统合作行为的综合案例框架，该框架融合了主观规范建模、社会网络结构分析、门槛公共品机制与信息干预策略，揭示了社会规范对合作的双重效应、网络结构的关键调节作用以及临界点在集体行动中的核心地位。在此基础上，重点分析生成式ABM的最新进展及其引发的验证挑战。研究发现，尽管ABM已揭示规范演化的多种路径，但仍面临行为理论整合不足、验证标准薄弱、规范类型学理解单一等局限。大语言模型的引入在提升智能体真实性的同时，加剧了“价值观偏差”、数字鸿沟、可复现性及知情同意等伦理难题。未来研究需在多学科行为理论整合、动态规范建模、验证方法论标准化以及跨文化比较等方面取得突破，特别是在中国本土情境下探索“关系”“面子”等文化变量的形式化表达，推动ABM真正成为公共管理领域可靠的理论建构与政策评估工具。</w:t>
      </w:r>
    </w:p>
    <w:p w14:paraId="6CB78760">
      <w:pPr>
        <w:pStyle w:val="27"/>
        <w:keepLines w:val="0"/>
        <w:kinsoku/>
        <w:wordWrap/>
        <w:overflowPunct/>
        <w:topLinePunct w:val="0"/>
        <w:autoSpaceDE/>
        <w:autoSpaceDN/>
        <w:bidi w:val="0"/>
        <w:snapToGrid/>
        <w:spacing w:line="360" w:lineRule="auto"/>
        <w:ind w:firstLine="0" w:firstLineChars="0"/>
        <w:textAlignment w:val="auto"/>
        <w:rPr>
          <w:rFonts w:ascii="Times New Roman" w:hAnsi="Times New Roman" w:eastAsia="宋体" w:cs="Times New Roman"/>
          <w:b w:val="0"/>
          <w:sz w:val="24"/>
          <w:szCs w:val="24"/>
        </w:rPr>
      </w:pPr>
      <w:r>
        <w:rPr>
          <w:rStyle w:val="24"/>
        </w:rPr>
        <w:t>关键词：</w:t>
      </w:r>
      <w:r>
        <w:rPr>
          <w:rFonts w:ascii="Times New Roman" w:hAnsi="Times New Roman" w:eastAsia="宋体" w:cs="Times New Roman"/>
          <w:b w:val="0"/>
          <w:sz w:val="24"/>
          <w:szCs w:val="24"/>
        </w:rPr>
        <w:t>基于主体建模；社会规范；集体行动；生成式ABM；公共管理</w:t>
      </w:r>
    </w:p>
    <w:p w14:paraId="0447DD42">
      <w:pPr>
        <w:keepLines w:val="0"/>
        <w:kinsoku/>
        <w:wordWrap/>
        <w:overflowPunct/>
        <w:topLinePunct w:val="0"/>
        <w:autoSpaceDE/>
        <w:autoSpaceDN/>
        <w:bidi w:val="0"/>
        <w:snapToGrid/>
        <w:spacing w:line="360" w:lineRule="auto"/>
        <w:textAlignment w:val="auto"/>
      </w:pPr>
      <w:r>
        <w:br w:type="page"/>
      </w:r>
    </w:p>
    <w:sdt>
      <w:sdtPr>
        <w:rPr>
          <w:rFonts w:ascii="宋体" w:hAnsi="宋体" w:eastAsia="宋体" w:cstheme="minorBidi"/>
          <w:b/>
          <w:bCs/>
          <w:kern w:val="2"/>
          <w:sz w:val="21"/>
          <w:szCs w:val="24"/>
          <w:lang w:val="en-US" w:eastAsia="zh-CN" w:bidi="ar-SA"/>
        </w:rPr>
        <w:id w:val="147478820"/>
        <w15:color w:val="DBDBDB"/>
        <w:docPartObj>
          <w:docPartGallery w:val="Table of Contents"/>
          <w:docPartUnique/>
        </w:docPartObj>
      </w:sdtPr>
      <w:sdtContent>
        <w:p w14:paraId="78019FCB">
          <w:pPr>
            <w:keepLines w:val="0"/>
            <w:kinsoku/>
            <w:wordWrap/>
            <w:overflowPunct/>
            <w:topLinePunct w:val="0"/>
            <w:autoSpaceDE/>
            <w:autoSpaceDN/>
            <w:bidi w:val="0"/>
            <w:snapToGrid/>
            <w:spacing w:before="0" w:beforeLines="0" w:after="0" w:afterLines="0" w:line="360" w:lineRule="auto"/>
            <w:ind w:left="0" w:leftChars="0" w:right="0" w:rightChars="0" w:firstLine="0" w:firstLineChars="0"/>
            <w:jc w:val="center"/>
            <w:textAlignment w:val="auto"/>
            <w:rPr>
              <w:rFonts w:hint="eastAsia" w:ascii="黑体" w:hAnsi="黑体" w:eastAsia="黑体" w:cs="黑体"/>
              <w:b/>
              <w:bCs/>
              <w:sz w:val="32"/>
              <w:szCs w:val="32"/>
            </w:rPr>
          </w:pPr>
          <w:bookmarkStart w:id="0" w:name="_Toc3426"/>
          <w:bookmarkStart w:id="1" w:name="_Toc12264"/>
          <w:bookmarkStart w:id="2" w:name="_Toc23132"/>
          <w:bookmarkStart w:id="129" w:name="_GoBack"/>
          <w:bookmarkEnd w:id="129"/>
          <w:r>
            <w:rPr>
              <w:rFonts w:hint="eastAsia" w:ascii="黑体" w:hAnsi="黑体" w:eastAsia="黑体" w:cs="黑体"/>
              <w:b/>
              <w:bCs/>
              <w:sz w:val="32"/>
              <w:szCs w:val="32"/>
            </w:rPr>
            <w:t>目录</w:t>
          </w:r>
        </w:p>
        <w:p w14:paraId="0F43608F">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"1-9" \h \u </w:instrText>
          </w:r>
          <w:r>
            <w:rPr>
              <w:rFonts w:hint="eastAsia" w:ascii="宋体" w:hAnsi="宋体" w:eastAsia="宋体" w:cs="宋体"/>
              <w:sz w:val="24"/>
              <w:szCs w:val="24"/>
            </w:rPr>
            <w:fldChar w:fldCharType="separate"/>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_Toc11788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一、</w:t>
          </w:r>
          <w:r>
            <w:rPr>
              <w:rFonts w:hint="eastAsia" w:ascii="宋体" w:hAnsi="宋体" w:eastAsia="宋体" w:cs="宋体"/>
              <w:b/>
              <w:bCs/>
              <w:sz w:val="24"/>
              <w:szCs w:val="24"/>
            </w:rPr>
            <w:t>引言</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_Toc11788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34D6183A">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_Toc9735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1.1 </w:t>
          </w:r>
          <w:r>
            <w:rPr>
              <w:rFonts w:hint="eastAsia" w:ascii="宋体" w:hAnsi="宋体" w:eastAsia="宋体" w:cs="宋体"/>
              <w:b/>
              <w:bCs/>
              <w:sz w:val="24"/>
              <w:szCs w:val="24"/>
            </w:rPr>
            <w:t>问题提出</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_Toc9735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2EF4163">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_Toc14111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1.2 </w:t>
          </w:r>
          <w:r>
            <w:rPr>
              <w:rFonts w:hint="eastAsia" w:ascii="宋体" w:hAnsi="宋体" w:eastAsia="宋体" w:cs="宋体"/>
              <w:b/>
              <w:bCs/>
              <w:sz w:val="24"/>
              <w:szCs w:val="24"/>
            </w:rPr>
            <w:t>研究意义</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_Toc14111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3F916AF5">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_Toc22572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1.3 </w:t>
          </w:r>
          <w:r>
            <w:rPr>
              <w:rFonts w:hint="eastAsia" w:ascii="宋体" w:hAnsi="宋体" w:eastAsia="宋体" w:cs="宋体"/>
              <w:b/>
              <w:bCs/>
              <w:sz w:val="24"/>
              <w:szCs w:val="24"/>
            </w:rPr>
            <w:t>综述范围与方法</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_Toc22572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B44DAA3">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_Toc31159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二、</w:t>
          </w:r>
          <w:r>
            <w:rPr>
              <w:rFonts w:hint="eastAsia" w:ascii="宋体" w:hAnsi="宋体" w:eastAsia="宋体" w:cs="宋体"/>
              <w:b/>
              <w:bCs/>
              <w:sz w:val="24"/>
              <w:szCs w:val="24"/>
            </w:rPr>
            <w:t>ABM方法论的演进与核心争论</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_Toc31159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39FF99F">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_Toc16881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2.1 </w:t>
          </w:r>
          <w:r>
            <w:rPr>
              <w:rFonts w:hint="eastAsia" w:ascii="宋体" w:hAnsi="宋体" w:eastAsia="宋体" w:cs="宋体"/>
              <w:b/>
              <w:bCs/>
              <w:sz w:val="24"/>
              <w:szCs w:val="24"/>
            </w:rPr>
            <w:t>从</w:t>
          </w:r>
          <w:r>
            <w:rPr>
              <w:rFonts w:hint="eastAsia" w:ascii="宋体" w:hAnsi="宋体" w:eastAsia="宋体" w:cs="宋体"/>
              <w:b/>
              <w:bCs/>
              <w:sz w:val="24"/>
              <w:szCs w:val="24"/>
              <w:lang w:eastAsia="zh-CN"/>
            </w:rPr>
            <w:t>“</w:t>
          </w:r>
          <w:r>
            <w:rPr>
              <w:rFonts w:hint="eastAsia" w:ascii="宋体" w:hAnsi="宋体" w:eastAsia="宋体" w:cs="宋体"/>
              <w:b/>
              <w:bCs/>
              <w:sz w:val="24"/>
              <w:szCs w:val="24"/>
            </w:rPr>
            <w:t>因素</w:t>
          </w:r>
          <w:r>
            <w:rPr>
              <w:rFonts w:hint="eastAsia" w:ascii="宋体" w:hAnsi="宋体" w:eastAsia="宋体" w:cs="宋体"/>
              <w:b/>
              <w:bCs/>
              <w:sz w:val="24"/>
              <w:szCs w:val="24"/>
              <w:lang w:eastAsia="zh-CN"/>
            </w:rPr>
            <w:t>”</w:t>
          </w:r>
          <w:r>
            <w:rPr>
              <w:rFonts w:hint="eastAsia" w:ascii="宋体" w:hAnsi="宋体" w:eastAsia="宋体" w:cs="宋体"/>
              <w:b/>
              <w:bCs/>
              <w:sz w:val="24"/>
              <w:szCs w:val="24"/>
            </w:rPr>
            <w:t>到</w:t>
          </w:r>
          <w:r>
            <w:rPr>
              <w:rFonts w:hint="eastAsia" w:ascii="宋体" w:hAnsi="宋体" w:eastAsia="宋体" w:cs="宋体"/>
              <w:b/>
              <w:bCs/>
              <w:sz w:val="24"/>
              <w:szCs w:val="24"/>
              <w:lang w:eastAsia="zh-CN"/>
            </w:rPr>
            <w:t>“</w:t>
          </w:r>
          <w:r>
            <w:rPr>
              <w:rFonts w:hint="eastAsia" w:ascii="宋体" w:hAnsi="宋体" w:eastAsia="宋体" w:cs="宋体"/>
              <w:b/>
              <w:bCs/>
              <w:sz w:val="24"/>
              <w:szCs w:val="24"/>
            </w:rPr>
            <w:t>行动者</w:t>
          </w:r>
          <w:r>
            <w:rPr>
              <w:rFonts w:hint="eastAsia" w:ascii="宋体" w:hAnsi="宋体" w:eastAsia="宋体" w:cs="宋体"/>
              <w:b/>
              <w:bCs/>
              <w:sz w:val="24"/>
              <w:szCs w:val="24"/>
              <w:lang w:eastAsia="zh-CN"/>
            </w:rPr>
            <w:t>”</w:t>
          </w:r>
          <w:r>
            <w:rPr>
              <w:rFonts w:hint="eastAsia" w:ascii="宋体" w:hAnsi="宋体" w:eastAsia="宋体" w:cs="宋体"/>
              <w:b/>
              <w:bCs/>
              <w:sz w:val="24"/>
              <w:szCs w:val="24"/>
            </w:rPr>
            <w:t>：ABM的方法论革命</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_Toc16881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7AC009FB">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_Toc29155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2.2 </w:t>
          </w:r>
          <w:r>
            <w:rPr>
              <w:rFonts w:hint="eastAsia" w:ascii="宋体" w:hAnsi="宋体" w:eastAsia="宋体" w:cs="宋体"/>
              <w:b/>
              <w:bCs/>
              <w:sz w:val="24"/>
              <w:szCs w:val="24"/>
            </w:rPr>
            <w:t>机制解释：ABM的说明模式</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_Toc29155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5</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2CAF28DC">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_Toc23192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2.3 </w:t>
          </w:r>
          <w:r>
            <w:rPr>
              <w:rFonts w:hint="eastAsia" w:ascii="宋体" w:hAnsi="宋体" w:eastAsia="宋体" w:cs="宋体"/>
              <w:b/>
              <w:bCs/>
              <w:sz w:val="24"/>
              <w:szCs w:val="24"/>
            </w:rPr>
            <w:t>ABM面临的核心批评</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_Toc23192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5</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2789895C">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_Toc16267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三、</w:t>
          </w:r>
          <w:r>
            <w:rPr>
              <w:rFonts w:hint="eastAsia" w:ascii="宋体" w:hAnsi="宋体" w:eastAsia="宋体" w:cs="宋体"/>
              <w:b/>
              <w:bCs/>
              <w:sz w:val="24"/>
              <w:szCs w:val="24"/>
            </w:rPr>
            <w:t>社会规范与集体行动的ABM研究脉络</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_Toc16267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2C8730A7">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_Toc22897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3.1 </w:t>
          </w:r>
          <w:r>
            <w:rPr>
              <w:rFonts w:hint="eastAsia" w:ascii="宋体" w:hAnsi="宋体" w:eastAsia="宋体" w:cs="宋体"/>
              <w:b/>
              <w:bCs/>
              <w:sz w:val="24"/>
              <w:szCs w:val="24"/>
            </w:rPr>
            <w:t>奠基性工作：谢林模型的思想遗产</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_Toc22897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7336A99D">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_Toc32693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3.2 </w:t>
          </w:r>
          <w:r>
            <w:rPr>
              <w:rFonts w:hint="eastAsia" w:ascii="宋体" w:hAnsi="宋体" w:eastAsia="宋体" w:cs="宋体"/>
              <w:b/>
              <w:bCs/>
              <w:sz w:val="24"/>
              <w:szCs w:val="24"/>
            </w:rPr>
            <w:t>合作与规范的演化：博弈论路径</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_Toc32693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8A51BFF">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_Toc1651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3.3 </w:t>
          </w:r>
          <w:r>
            <w:rPr>
              <w:rFonts w:hint="eastAsia" w:ascii="宋体" w:hAnsi="宋体" w:eastAsia="宋体" w:cs="宋体"/>
              <w:b/>
              <w:bCs/>
              <w:sz w:val="24"/>
              <w:szCs w:val="24"/>
            </w:rPr>
            <w:t>公共池塘资源与社会</w:t>
          </w:r>
          <w:r>
            <w:rPr>
              <w:rFonts w:hint="eastAsia" w:ascii="宋体" w:hAnsi="宋体" w:eastAsia="宋体" w:cs="宋体"/>
              <w:b/>
              <w:bCs/>
              <w:sz w:val="24"/>
              <w:szCs w:val="24"/>
              <w:lang w:eastAsia="zh-CN"/>
            </w:rPr>
            <w:t>—</w:t>
          </w:r>
          <w:r>
            <w:rPr>
              <w:rFonts w:hint="eastAsia" w:ascii="宋体" w:hAnsi="宋体" w:eastAsia="宋体" w:cs="宋体"/>
              <w:b/>
              <w:bCs/>
              <w:sz w:val="24"/>
              <w:szCs w:val="24"/>
            </w:rPr>
            <w:t>生态系统</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_Toc1651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429A82DE">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_Toc17733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eastAsia="zh-CN"/>
            </w:rPr>
            <w:t xml:space="preserve">3.4 </w:t>
          </w:r>
          <w:r>
            <w:rPr>
              <w:rFonts w:hint="eastAsia" w:ascii="宋体" w:hAnsi="宋体" w:eastAsia="宋体" w:cs="宋体"/>
              <w:b/>
              <w:bCs/>
              <w:sz w:val="24"/>
              <w:szCs w:val="24"/>
            </w:rPr>
            <w:t>中国情境下的探索：关系、面子与本土化尝试</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_Toc17733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45EC706C">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_Toc4254 </w:instrText>
          </w:r>
          <w:r>
            <w:rPr>
              <w:rFonts w:hint="eastAsia" w:ascii="宋体" w:hAnsi="宋体" w:eastAsia="宋体" w:cs="宋体"/>
              <w:b/>
              <w:bCs/>
              <w:sz w:val="24"/>
              <w:szCs w:val="24"/>
            </w:rPr>
            <w:fldChar w:fldCharType="separate"/>
          </w:r>
          <w:r>
            <w:rPr>
              <w:rFonts w:hint="eastAsia" w:ascii="宋体" w:hAnsi="宋体" w:eastAsia="宋体" w:cs="宋体"/>
              <w:b/>
              <w:bCs/>
              <w:kern w:val="2"/>
              <w:sz w:val="24"/>
              <w:szCs w:val="24"/>
              <w:lang w:eastAsia="zh-CN" w:bidi="ar-SA"/>
            </w:rPr>
            <w:t>3.5 典型应用案例：灌溉系统合作行为的ABM模拟</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_Toc4254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9</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6CDFBBAE">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_Toc20395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四、前沿进展：生成式ABM与验证挑战</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_Toc20395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689FE3C1">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_Toc9359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 xml:space="preserve">.1 </w:t>
          </w:r>
          <w:r>
            <w:rPr>
              <w:rFonts w:hint="eastAsia" w:ascii="宋体" w:hAnsi="宋体" w:eastAsia="宋体" w:cs="宋体"/>
              <w:b/>
              <w:bCs/>
              <w:sz w:val="24"/>
              <w:szCs w:val="24"/>
            </w:rPr>
            <w:t>大语言模型赋能ABM的新可能</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_Toc9359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13</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2FF75C64">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_Toc19255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 xml:space="preserve">.2 </w:t>
          </w:r>
          <w:r>
            <w:rPr>
              <w:rFonts w:hint="eastAsia" w:ascii="宋体" w:hAnsi="宋体" w:eastAsia="宋体" w:cs="宋体"/>
              <w:b/>
              <w:bCs/>
              <w:sz w:val="24"/>
              <w:szCs w:val="24"/>
            </w:rPr>
            <w:t>验证问题的加剧而非解决</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_Toc19255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14</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495BC45">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_Toc16176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 xml:space="preserve">.3 </w:t>
          </w:r>
          <w:r>
            <w:rPr>
              <w:rFonts w:hint="eastAsia" w:ascii="宋体" w:hAnsi="宋体" w:eastAsia="宋体" w:cs="宋体"/>
              <w:b/>
              <w:bCs/>
              <w:sz w:val="24"/>
              <w:szCs w:val="24"/>
            </w:rPr>
            <w:t>生成式ABM的伦理挑战</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_Toc16176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15</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818FADA">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_Toc25508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 xml:space="preserve">.4 </w:t>
          </w:r>
          <w:r>
            <w:rPr>
              <w:rFonts w:hint="eastAsia" w:ascii="宋体" w:hAnsi="宋体" w:eastAsia="宋体" w:cs="宋体"/>
              <w:b/>
              <w:bCs/>
              <w:sz w:val="24"/>
              <w:szCs w:val="24"/>
            </w:rPr>
            <w:t>前沿探索：验证方法的新尝试</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_Toc25508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4C399C2">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_Toc3226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五、研究评述与未来展望</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_Toc3226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60F6AAE5">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_Toc18545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5</w:t>
          </w:r>
          <w:r>
            <w:rPr>
              <w:rFonts w:hint="eastAsia" w:ascii="宋体" w:hAnsi="宋体" w:eastAsia="宋体" w:cs="宋体"/>
              <w:b/>
              <w:bCs/>
              <w:sz w:val="24"/>
              <w:szCs w:val="24"/>
              <w:lang w:eastAsia="zh-CN"/>
            </w:rPr>
            <w:t xml:space="preserve">.1 </w:t>
          </w:r>
          <w:r>
            <w:rPr>
              <w:rFonts w:hint="eastAsia" w:ascii="宋体" w:hAnsi="宋体" w:eastAsia="宋体" w:cs="宋体"/>
              <w:b/>
              <w:bCs/>
              <w:sz w:val="24"/>
              <w:szCs w:val="24"/>
            </w:rPr>
            <w:t>已有研究的主要贡献</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_Toc18545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16</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35EBE8CA">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_Toc17334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5</w:t>
          </w:r>
          <w:r>
            <w:rPr>
              <w:rFonts w:hint="eastAsia" w:ascii="宋体" w:hAnsi="宋体" w:eastAsia="宋体" w:cs="宋体"/>
              <w:b/>
              <w:bCs/>
              <w:sz w:val="24"/>
              <w:szCs w:val="24"/>
              <w:lang w:eastAsia="zh-CN"/>
            </w:rPr>
            <w:t xml:space="preserve">.2 </w:t>
          </w:r>
          <w:r>
            <w:rPr>
              <w:rFonts w:hint="eastAsia" w:ascii="宋体" w:hAnsi="宋体" w:eastAsia="宋体" w:cs="宋体"/>
              <w:b/>
              <w:bCs/>
              <w:sz w:val="24"/>
              <w:szCs w:val="24"/>
            </w:rPr>
            <w:t>现有研究的不足与空白</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_Toc17334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47A00245">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_Toc3261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5</w:t>
          </w:r>
          <w:r>
            <w:rPr>
              <w:rFonts w:hint="eastAsia" w:ascii="宋体" w:hAnsi="宋体" w:eastAsia="宋体" w:cs="宋体"/>
              <w:b/>
              <w:bCs/>
              <w:sz w:val="24"/>
              <w:szCs w:val="24"/>
              <w:lang w:eastAsia="zh-CN"/>
            </w:rPr>
            <w:t xml:space="preserve">.3 </w:t>
          </w:r>
          <w:r>
            <w:rPr>
              <w:rFonts w:hint="eastAsia" w:ascii="宋体" w:hAnsi="宋体" w:eastAsia="宋体" w:cs="宋体"/>
              <w:b/>
              <w:bCs/>
              <w:sz w:val="24"/>
              <w:szCs w:val="24"/>
            </w:rPr>
            <w:t>未来研究方向</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_Toc3261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17</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70AF7486">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_Toc27537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六、结论与政策启示</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_Toc27537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19</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2F0BDCBC">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_Toc8715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6</w:t>
          </w:r>
          <w:r>
            <w:rPr>
              <w:rFonts w:hint="eastAsia" w:ascii="宋体" w:hAnsi="宋体" w:eastAsia="宋体" w:cs="宋体"/>
              <w:b/>
              <w:bCs/>
              <w:sz w:val="24"/>
              <w:szCs w:val="24"/>
              <w:lang w:eastAsia="zh-CN"/>
            </w:rPr>
            <w:t xml:space="preserve">.1 </w:t>
          </w:r>
          <w:r>
            <w:rPr>
              <w:rFonts w:hint="eastAsia" w:ascii="宋体" w:hAnsi="宋体" w:eastAsia="宋体" w:cs="宋体"/>
              <w:b/>
              <w:bCs/>
              <w:sz w:val="24"/>
              <w:szCs w:val="24"/>
            </w:rPr>
            <w:t>研究结论</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_Toc8715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19</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F269BC4">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_Toc17322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6</w:t>
          </w:r>
          <w:r>
            <w:rPr>
              <w:rFonts w:hint="eastAsia" w:ascii="宋体" w:hAnsi="宋体" w:eastAsia="宋体" w:cs="宋体"/>
              <w:b/>
              <w:bCs/>
              <w:sz w:val="24"/>
              <w:szCs w:val="24"/>
              <w:lang w:eastAsia="zh-CN"/>
            </w:rPr>
            <w:t xml:space="preserve">.2 </w:t>
          </w:r>
          <w:r>
            <w:rPr>
              <w:rFonts w:hint="eastAsia" w:ascii="宋体" w:hAnsi="宋体" w:eastAsia="宋体" w:cs="宋体"/>
              <w:b/>
              <w:bCs/>
              <w:sz w:val="24"/>
              <w:szCs w:val="24"/>
            </w:rPr>
            <w:t>政策启示</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_Toc17322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19</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0E903C3B">
          <w:pPr>
            <w:pStyle w:val="18"/>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_Toc5592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lang w:val="en-US" w:eastAsia="zh-CN"/>
            </w:rPr>
            <w:t>6</w:t>
          </w:r>
          <w:r>
            <w:rPr>
              <w:rFonts w:hint="eastAsia" w:ascii="宋体" w:hAnsi="宋体" w:eastAsia="宋体" w:cs="宋体"/>
              <w:b/>
              <w:bCs/>
              <w:sz w:val="24"/>
              <w:szCs w:val="24"/>
              <w:lang w:eastAsia="zh-CN"/>
            </w:rPr>
            <w:t xml:space="preserve">.3 </w:t>
          </w:r>
          <w:r>
            <w:rPr>
              <w:rFonts w:hint="eastAsia" w:ascii="宋体" w:hAnsi="宋体" w:eastAsia="宋体" w:cs="宋体"/>
              <w:b/>
              <w:bCs/>
              <w:sz w:val="24"/>
              <w:szCs w:val="24"/>
            </w:rPr>
            <w:t>未来展望</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_Toc5592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20</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14E09909">
          <w:pPr>
            <w:pStyle w:val="15"/>
            <w:keepLines w:val="0"/>
            <w:tabs>
              <w:tab w:val="right" w:leader="dot" w:pos="8306"/>
            </w:tabs>
            <w:kinsoku/>
            <w:wordWrap/>
            <w:overflowPunct/>
            <w:topLinePunct w:val="0"/>
            <w:autoSpaceDE/>
            <w:autoSpaceDN/>
            <w:bidi w:val="0"/>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HYPERLINK \l _Toc10138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参考文献</w:t>
          </w:r>
          <w:r>
            <w:rPr>
              <w:rFonts w:hint="eastAsia" w:ascii="宋体" w:hAnsi="宋体" w:eastAsia="宋体" w:cs="宋体"/>
              <w:b/>
              <w:bCs/>
              <w:sz w:val="24"/>
              <w:szCs w:val="24"/>
            </w:rPr>
            <w:tab/>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PAGEREF _Toc10138 \h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21</w:t>
          </w:r>
          <w:r>
            <w:rPr>
              <w:rFonts w:hint="eastAsia" w:ascii="宋体" w:hAnsi="宋体" w:eastAsia="宋体" w:cs="宋体"/>
              <w:b/>
              <w:bCs/>
              <w:sz w:val="24"/>
              <w:szCs w:val="24"/>
            </w:rPr>
            <w:fldChar w:fldCharType="end"/>
          </w:r>
          <w:r>
            <w:rPr>
              <w:rFonts w:hint="eastAsia" w:ascii="宋体" w:hAnsi="宋体" w:eastAsia="宋体" w:cs="宋体"/>
              <w:b/>
              <w:bCs/>
              <w:sz w:val="24"/>
              <w:szCs w:val="24"/>
            </w:rPr>
            <w:fldChar w:fldCharType="end"/>
          </w:r>
        </w:p>
        <w:p w14:paraId="5BA19DE2">
          <w:pPr>
            <w:keepLines w:val="0"/>
            <w:kinsoku/>
            <w:wordWrap/>
            <w:overflowPunct/>
            <w:topLinePunct w:val="0"/>
            <w:autoSpaceDE/>
            <w:autoSpaceDN/>
            <w:bidi w:val="0"/>
            <w:snapToGrid/>
            <w:spacing w:line="360" w:lineRule="auto"/>
            <w:textAlignment w:val="auto"/>
          </w:pPr>
          <w:r>
            <w:rPr>
              <w:rFonts w:hint="eastAsia" w:ascii="宋体" w:hAnsi="宋体" w:eastAsia="宋体" w:cs="宋体"/>
              <w:sz w:val="24"/>
              <w:szCs w:val="24"/>
            </w:rPr>
            <w:fldChar w:fldCharType="end"/>
          </w:r>
          <w:bookmarkStart w:id="3" w:name="_Toc11788"/>
        </w:p>
      </w:sdtContent>
    </w:sdt>
    <w:p w14:paraId="06975B64">
      <w:pPr>
        <w:keepLines w:val="0"/>
        <w:kinsoku/>
        <w:wordWrap/>
        <w:overflowPunct/>
        <w:topLinePunct w:val="0"/>
        <w:autoSpaceDE/>
        <w:autoSpaceDN/>
        <w:bidi w:val="0"/>
        <w:snapToGrid/>
        <w:spacing w:line="360" w:lineRule="auto"/>
        <w:jc w:val="center"/>
        <w:textAlignment w:val="auto"/>
        <w:rPr>
          <w:rFonts w:hint="eastAsia" w:ascii="黑体" w:hAnsi="黑体" w:eastAsia="黑体" w:cs="黑体"/>
          <w:b/>
          <w:bCs/>
          <w:sz w:val="36"/>
          <w:szCs w:val="36"/>
        </w:rPr>
      </w:pPr>
      <w:r>
        <w:rPr>
          <w:rFonts w:hint="eastAsia" w:ascii="黑体" w:hAnsi="黑体" w:eastAsia="黑体" w:cs="黑体"/>
          <w:b/>
          <w:bCs/>
          <w:sz w:val="36"/>
          <w:szCs w:val="36"/>
          <w:lang w:eastAsia="zh-CN"/>
        </w:rPr>
        <w:t>一、</w:t>
      </w:r>
      <w:r>
        <w:rPr>
          <w:rFonts w:hint="eastAsia" w:ascii="黑体" w:hAnsi="黑体" w:eastAsia="黑体" w:cs="黑体"/>
          <w:b/>
          <w:bCs/>
          <w:sz w:val="36"/>
          <w:szCs w:val="36"/>
        </w:rPr>
        <w:t>引言</w:t>
      </w:r>
      <w:bookmarkEnd w:id="0"/>
      <w:bookmarkEnd w:id="1"/>
      <w:bookmarkEnd w:id="2"/>
      <w:bookmarkEnd w:id="3"/>
    </w:p>
    <w:p w14:paraId="7B154925">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4" w:name="_Toc21469"/>
      <w:bookmarkStart w:id="5" w:name="_Toc20658"/>
      <w:bookmarkStart w:id="6" w:name="_Toc24179"/>
      <w:bookmarkStart w:id="7" w:name="_Toc9735"/>
      <w:r>
        <w:rPr>
          <w:rFonts w:hint="eastAsia" w:ascii="宋体" w:hAnsi="宋体" w:eastAsia="宋体" w:cs="宋体"/>
          <w:lang w:eastAsia="zh-CN"/>
        </w:rPr>
        <w:t xml:space="preserve">1.1 </w:t>
      </w:r>
      <w:r>
        <w:rPr>
          <w:rFonts w:hint="eastAsia" w:ascii="宋体" w:hAnsi="宋体" w:eastAsia="宋体" w:cs="宋体"/>
        </w:rPr>
        <w:t>问题提出</w:t>
      </w:r>
      <w:bookmarkEnd w:id="4"/>
      <w:bookmarkEnd w:id="5"/>
      <w:bookmarkEnd w:id="6"/>
      <w:bookmarkEnd w:id="7"/>
    </w:p>
    <w:p w14:paraId="21B54FCA">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集体行动的困境是公共管理的核心议题：理性的个体为何有时能够克服搭便车倾向，实现合作？社会规范如何在缺乏中央权威的情况下自发形成并维系合作秩序？这些问题贯穿于公共池塘资源治理、社区自治、环境保护等诸多公共管理场景。奥斯特罗姆因其对公共池塘资源治理的研究获得诺贝尔经济学奖，正因其回应了</w:t>
      </w:r>
      <w:r>
        <w:rPr>
          <w:rFonts w:hint="eastAsia" w:cs="Times New Roman"/>
          <w:sz w:val="24"/>
          <w:szCs w:val="24"/>
          <w:lang w:eastAsia="zh-CN"/>
        </w:rPr>
        <w:t>“</w:t>
      </w:r>
      <w:r>
        <w:rPr>
          <w:rFonts w:ascii="Times New Roman" w:hAnsi="Times New Roman" w:eastAsia="宋体" w:cs="Times New Roman"/>
          <w:sz w:val="24"/>
          <w:szCs w:val="24"/>
        </w:rPr>
        <w:t>个体理性如何导致集体非理性</w:t>
      </w:r>
      <w:r>
        <w:rPr>
          <w:rFonts w:hint="eastAsia" w:cs="Times New Roman"/>
          <w:sz w:val="24"/>
          <w:szCs w:val="24"/>
          <w:lang w:eastAsia="zh-CN"/>
        </w:rPr>
        <w:t>”</w:t>
      </w:r>
      <w:r>
        <w:rPr>
          <w:rFonts w:ascii="Times New Roman" w:hAnsi="Times New Roman" w:eastAsia="宋体" w:cs="Times New Roman"/>
          <w:sz w:val="24"/>
          <w:szCs w:val="24"/>
        </w:rPr>
        <w:t>这一核心困境。传统解释路径主要依赖理性选择理论的</w:t>
      </w:r>
      <w:r>
        <w:rPr>
          <w:rFonts w:hint="eastAsia" w:cs="Times New Roman"/>
          <w:sz w:val="24"/>
          <w:szCs w:val="24"/>
          <w:lang w:eastAsia="zh-CN"/>
        </w:rPr>
        <w:t>“</w:t>
      </w:r>
      <w:r>
        <w:rPr>
          <w:rFonts w:ascii="Times New Roman" w:hAnsi="Times New Roman" w:eastAsia="宋体" w:cs="Times New Roman"/>
          <w:sz w:val="24"/>
          <w:szCs w:val="24"/>
        </w:rPr>
        <w:t>因素</w:t>
      </w:r>
      <w:r>
        <w:rPr>
          <w:rFonts w:hint="eastAsia" w:cs="Times New Roman"/>
          <w:sz w:val="24"/>
          <w:szCs w:val="24"/>
          <w:lang w:eastAsia="zh-CN"/>
        </w:rPr>
        <w:t>”</w:t>
      </w:r>
      <w:r>
        <w:rPr>
          <w:rFonts w:ascii="Times New Roman" w:hAnsi="Times New Roman" w:eastAsia="宋体" w:cs="Times New Roman"/>
          <w:sz w:val="24"/>
          <w:szCs w:val="24"/>
        </w:rPr>
        <w:t>分析范式，将社会现象还原为个体属性的加总。然而，这种视角难以解释微观互动如何涌现出宏观秩序——正如椋鸟群飞形成的流体云团无法通过分析单只鸟的飞行轨迹来理解，社会规范与集体行动的生成机制也需要一种</w:t>
      </w:r>
      <w:r>
        <w:rPr>
          <w:rFonts w:hint="eastAsia" w:cs="Times New Roman"/>
          <w:sz w:val="24"/>
          <w:szCs w:val="24"/>
          <w:lang w:eastAsia="zh-CN"/>
        </w:rPr>
        <w:t>“</w:t>
      </w:r>
      <w:r>
        <w:rPr>
          <w:rFonts w:ascii="Times New Roman" w:hAnsi="Times New Roman" w:eastAsia="宋体" w:cs="Times New Roman"/>
          <w:sz w:val="24"/>
          <w:szCs w:val="24"/>
        </w:rPr>
        <w:t>自</w:t>
      </w:r>
      <w:r>
        <w:rPr>
          <w:rFonts w:hint="eastAsia" w:cs="Times New Roman"/>
          <w:sz w:val="24"/>
          <w:szCs w:val="24"/>
          <w:lang w:val="en-US" w:eastAsia="zh-CN"/>
        </w:rPr>
        <w:t>下而</w:t>
      </w:r>
      <w:r>
        <w:rPr>
          <w:rFonts w:ascii="Times New Roman" w:hAnsi="Times New Roman" w:eastAsia="宋体" w:cs="Times New Roman"/>
          <w:sz w:val="24"/>
          <w:szCs w:val="24"/>
        </w:rPr>
        <w:t>上</w:t>
      </w:r>
      <w:r>
        <w:rPr>
          <w:rFonts w:hint="eastAsia" w:cs="Times New Roman"/>
          <w:sz w:val="24"/>
          <w:szCs w:val="24"/>
          <w:lang w:eastAsia="zh-CN"/>
        </w:rPr>
        <w:t>”</w:t>
      </w:r>
      <w:r>
        <w:rPr>
          <w:rFonts w:ascii="Times New Roman" w:hAnsi="Times New Roman" w:eastAsia="宋体" w:cs="Times New Roman"/>
          <w:sz w:val="24"/>
          <w:szCs w:val="24"/>
        </w:rPr>
        <w:t>的动态建模方法。</w:t>
      </w:r>
    </w:p>
    <w:p w14:paraId="53CFF61D">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基于主体建模为此提供了独特的研究工具。通过构建具有异质性、适应性和交互能力的智能体，ABM能够模拟微观行为如何经由局部互动涌现为宏观社会模式，从而在</w:t>
      </w:r>
      <w:r>
        <w:rPr>
          <w:rFonts w:hint="eastAsia" w:cs="Times New Roman"/>
          <w:sz w:val="24"/>
          <w:szCs w:val="24"/>
          <w:lang w:eastAsia="zh-CN"/>
        </w:rPr>
        <w:t>“</w:t>
      </w:r>
      <w:r>
        <w:rPr>
          <w:rFonts w:ascii="Times New Roman" w:hAnsi="Times New Roman" w:eastAsia="宋体" w:cs="Times New Roman"/>
          <w:sz w:val="24"/>
          <w:szCs w:val="24"/>
        </w:rPr>
        <w:t>因素</w:t>
      </w:r>
      <w:r>
        <w:rPr>
          <w:rFonts w:hint="eastAsia" w:cs="Times New Roman"/>
          <w:sz w:val="24"/>
          <w:szCs w:val="24"/>
          <w:lang w:eastAsia="zh-CN"/>
        </w:rPr>
        <w:t>”</w:t>
      </w:r>
      <w:r>
        <w:rPr>
          <w:rFonts w:ascii="Times New Roman" w:hAnsi="Times New Roman" w:eastAsia="宋体" w:cs="Times New Roman"/>
          <w:sz w:val="24"/>
          <w:szCs w:val="24"/>
        </w:rPr>
        <w:t>与</w:t>
      </w:r>
      <w:r>
        <w:rPr>
          <w:rFonts w:hint="eastAsia" w:cs="Times New Roman"/>
          <w:sz w:val="24"/>
          <w:szCs w:val="24"/>
          <w:lang w:eastAsia="zh-CN"/>
        </w:rPr>
        <w:t>“</w:t>
      </w:r>
      <w:r>
        <w:rPr>
          <w:rFonts w:ascii="Times New Roman" w:hAnsi="Times New Roman" w:eastAsia="宋体" w:cs="Times New Roman"/>
          <w:sz w:val="24"/>
          <w:szCs w:val="24"/>
        </w:rPr>
        <w:t>行动者</w:t>
      </w:r>
      <w:r>
        <w:rPr>
          <w:rFonts w:hint="eastAsia" w:cs="Times New Roman"/>
          <w:sz w:val="24"/>
          <w:szCs w:val="24"/>
          <w:lang w:eastAsia="zh-CN"/>
        </w:rPr>
        <w:t>”</w:t>
      </w:r>
      <w:r>
        <w:rPr>
          <w:rFonts w:ascii="Times New Roman" w:hAnsi="Times New Roman" w:eastAsia="宋体" w:cs="Times New Roman"/>
          <w:sz w:val="24"/>
          <w:szCs w:val="24"/>
        </w:rPr>
        <w:t>之间架起桥梁。近年来，随着大语言模型（LLM</w:t>
      </w:r>
      <w:r>
        <w:rPr>
          <w:rFonts w:hint="eastAsia" w:cs="Times New Roman"/>
          <w:sz w:val="24"/>
          <w:szCs w:val="24"/>
          <w:lang w:val="en-US" w:eastAsia="zh-CN"/>
        </w:rPr>
        <w:t>s</w:t>
      </w:r>
      <w:r>
        <w:rPr>
          <w:rFonts w:ascii="Times New Roman" w:hAnsi="Times New Roman" w:eastAsia="宋体" w:cs="Times New Roman"/>
          <w:sz w:val="24"/>
          <w:szCs w:val="24"/>
        </w:rPr>
        <w:t>）的兴起，</w:t>
      </w:r>
      <w:r>
        <w:rPr>
          <w:rFonts w:hint="eastAsia" w:cs="Times New Roman"/>
          <w:sz w:val="24"/>
          <w:szCs w:val="24"/>
          <w:lang w:eastAsia="zh-CN"/>
        </w:rPr>
        <w:t>“</w:t>
      </w:r>
      <w:r>
        <w:rPr>
          <w:rFonts w:ascii="Times New Roman" w:hAnsi="Times New Roman" w:eastAsia="宋体" w:cs="Times New Roman"/>
          <w:sz w:val="24"/>
          <w:szCs w:val="24"/>
        </w:rPr>
        <w:t>生成式ABM</w:t>
      </w:r>
      <w:r>
        <w:rPr>
          <w:rFonts w:hint="eastAsia" w:cs="Times New Roman"/>
          <w:sz w:val="24"/>
          <w:szCs w:val="24"/>
          <w:lang w:eastAsia="zh-CN"/>
        </w:rPr>
        <w:t>”</w:t>
      </w:r>
      <w:r>
        <w:rPr>
          <w:rFonts w:ascii="Times New Roman" w:hAnsi="Times New Roman" w:eastAsia="宋体" w:cs="Times New Roman"/>
          <w:sz w:val="24"/>
          <w:szCs w:val="24"/>
        </w:rPr>
        <w:t>进一步赋予智能体更接近人类的推理和语言能力，为这一领域带来新的可能。</w:t>
      </w:r>
    </w:p>
    <w:p w14:paraId="6FF689F2">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8" w:name="_Toc5400"/>
      <w:bookmarkStart w:id="9" w:name="_Toc4465"/>
      <w:bookmarkStart w:id="10" w:name="_Toc13161"/>
      <w:bookmarkStart w:id="11" w:name="_Toc14111"/>
      <w:r>
        <w:rPr>
          <w:rFonts w:hint="eastAsia" w:ascii="宋体" w:hAnsi="宋体" w:eastAsia="宋体" w:cs="宋体"/>
          <w:lang w:eastAsia="zh-CN"/>
        </w:rPr>
        <w:t xml:space="preserve">1.2 </w:t>
      </w:r>
      <w:r>
        <w:rPr>
          <w:rFonts w:hint="eastAsia" w:ascii="宋体" w:hAnsi="宋体" w:eastAsia="宋体" w:cs="宋体"/>
        </w:rPr>
        <w:t>研究意义</w:t>
      </w:r>
      <w:bookmarkEnd w:id="8"/>
      <w:bookmarkEnd w:id="9"/>
      <w:bookmarkEnd w:id="10"/>
      <w:bookmarkEnd w:id="11"/>
    </w:p>
    <w:p w14:paraId="537E1DFA">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对</w:t>
      </w:r>
      <w:r>
        <w:rPr>
          <w:rFonts w:hint="eastAsia" w:cs="Times New Roman"/>
          <w:sz w:val="24"/>
          <w:szCs w:val="24"/>
          <w:lang w:eastAsia="zh-CN"/>
        </w:rPr>
        <w:t>“</w:t>
      </w:r>
      <w:r>
        <w:rPr>
          <w:rFonts w:ascii="Times New Roman" w:hAnsi="Times New Roman" w:eastAsia="宋体" w:cs="Times New Roman"/>
          <w:sz w:val="24"/>
          <w:szCs w:val="24"/>
        </w:rPr>
        <w:t>社会规范与集体行动</w:t>
      </w:r>
      <w:r>
        <w:rPr>
          <w:rFonts w:hint="eastAsia" w:cs="Times New Roman"/>
          <w:sz w:val="24"/>
          <w:szCs w:val="24"/>
          <w:lang w:eastAsia="zh-CN"/>
        </w:rPr>
        <w:t>”</w:t>
      </w:r>
      <w:r>
        <w:rPr>
          <w:rFonts w:ascii="Times New Roman" w:hAnsi="Times New Roman" w:eastAsia="宋体" w:cs="Times New Roman"/>
          <w:sz w:val="24"/>
          <w:szCs w:val="24"/>
        </w:rPr>
        <w:t>的ABM模拟研究进行文献综述，具有三重意义：</w:t>
      </w:r>
    </w:p>
    <w:p w14:paraId="043F2F64">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理论层面：ABM提供了一种</w:t>
      </w:r>
      <w:r>
        <w:rPr>
          <w:rFonts w:hint="eastAsia" w:cs="Times New Roman"/>
          <w:sz w:val="24"/>
          <w:szCs w:val="24"/>
          <w:lang w:eastAsia="zh-CN"/>
        </w:rPr>
        <w:t>“</w:t>
      </w:r>
      <w:r>
        <w:rPr>
          <w:rFonts w:ascii="Times New Roman" w:hAnsi="Times New Roman" w:eastAsia="宋体" w:cs="Times New Roman"/>
          <w:sz w:val="24"/>
          <w:szCs w:val="24"/>
        </w:rPr>
        <w:t>生成式</w:t>
      </w:r>
      <w:r>
        <w:rPr>
          <w:rFonts w:hint="eastAsia" w:cs="Times New Roman"/>
          <w:sz w:val="24"/>
          <w:szCs w:val="24"/>
          <w:lang w:eastAsia="zh-CN"/>
        </w:rPr>
        <w:t>”</w:t>
      </w:r>
      <w:r>
        <w:rPr>
          <w:rFonts w:ascii="Times New Roman" w:hAnsi="Times New Roman" w:eastAsia="宋体" w:cs="Times New Roman"/>
          <w:sz w:val="24"/>
          <w:szCs w:val="24"/>
        </w:rPr>
        <w:t>的社会科学解释路径</w:t>
      </w:r>
      <w:r>
        <w:rPr>
          <w:rFonts w:hint="eastAsia" w:cs="Times New Roman"/>
          <w:sz w:val="24"/>
          <w:szCs w:val="24"/>
          <w:lang w:eastAsia="zh-CN"/>
        </w:rPr>
        <w:t>——</w:t>
      </w:r>
      <w:r>
        <w:rPr>
          <w:rFonts w:ascii="Times New Roman" w:hAnsi="Times New Roman" w:eastAsia="宋体" w:cs="Times New Roman"/>
          <w:sz w:val="24"/>
          <w:szCs w:val="24"/>
        </w:rPr>
        <w:t>要解释某个宏观现象，就需要证明该现象能够从微观层面的异质性个体互动中</w:t>
      </w:r>
      <w:r>
        <w:rPr>
          <w:rFonts w:hint="eastAsia" w:cs="Times New Roman"/>
          <w:sz w:val="24"/>
          <w:szCs w:val="24"/>
          <w:lang w:eastAsia="zh-CN"/>
        </w:rPr>
        <w:t>“</w:t>
      </w:r>
      <w:r>
        <w:rPr>
          <w:rFonts w:ascii="Times New Roman" w:hAnsi="Times New Roman" w:eastAsia="宋体" w:cs="Times New Roman"/>
          <w:sz w:val="24"/>
          <w:szCs w:val="24"/>
        </w:rPr>
        <w:t>生长</w:t>
      </w:r>
      <w:r>
        <w:rPr>
          <w:rFonts w:hint="eastAsia" w:cs="Times New Roman"/>
          <w:sz w:val="24"/>
          <w:szCs w:val="24"/>
          <w:lang w:eastAsia="zh-CN"/>
        </w:rPr>
        <w:t>”</w:t>
      </w:r>
      <w:r>
        <w:rPr>
          <w:rFonts w:ascii="Times New Roman" w:hAnsi="Times New Roman" w:eastAsia="宋体" w:cs="Times New Roman"/>
          <w:sz w:val="24"/>
          <w:szCs w:val="24"/>
        </w:rPr>
        <w:t>出来。这种研究进路与公共管理领域对制度演化和治理机制的理解具有内在契合性。</w:t>
      </w:r>
    </w:p>
    <w:p w14:paraId="1E857E94">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方法论层面：ABM面临的核心挑战</w:t>
      </w:r>
      <w:r>
        <w:rPr>
          <w:rFonts w:hint="eastAsia" w:cs="Times New Roman"/>
          <w:sz w:val="24"/>
          <w:szCs w:val="24"/>
          <w:lang w:eastAsia="zh-CN"/>
        </w:rPr>
        <w:t>——</w:t>
      </w:r>
      <w:r>
        <w:rPr>
          <w:rFonts w:ascii="Times New Roman" w:hAnsi="Times New Roman" w:eastAsia="宋体" w:cs="Times New Roman"/>
          <w:sz w:val="24"/>
          <w:szCs w:val="24"/>
        </w:rPr>
        <w:t>模型验证、微观基础的经验校准、复杂系统的可解释性</w:t>
      </w:r>
      <w:r>
        <w:rPr>
          <w:rFonts w:hint="eastAsia" w:cs="Times New Roman"/>
          <w:sz w:val="24"/>
          <w:szCs w:val="24"/>
          <w:lang w:eastAsia="zh-CN"/>
        </w:rPr>
        <w:t>——</w:t>
      </w:r>
      <w:r>
        <w:rPr>
          <w:rFonts w:ascii="Times New Roman" w:hAnsi="Times New Roman" w:eastAsia="宋体" w:cs="Times New Roman"/>
          <w:sz w:val="24"/>
          <w:szCs w:val="24"/>
        </w:rPr>
        <w:t>在该领域得到了集中体现。通过梳理学者们如何应对这些挑战，可以为后续研究提供方法论借鉴。</w:t>
      </w:r>
    </w:p>
    <w:p w14:paraId="6A76BF2A">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实践层面：社区治理、资源管理、数字时代的集体行动等问题持续困扰着政策制定者。ABM模拟能够作为</w:t>
      </w:r>
      <w:r>
        <w:rPr>
          <w:rFonts w:hint="eastAsia" w:cs="Times New Roman"/>
          <w:sz w:val="24"/>
          <w:szCs w:val="24"/>
          <w:lang w:eastAsia="zh-CN"/>
        </w:rPr>
        <w:t>“</w:t>
      </w:r>
      <w:r>
        <w:rPr>
          <w:rFonts w:ascii="Times New Roman" w:hAnsi="Times New Roman" w:eastAsia="宋体" w:cs="Times New Roman"/>
          <w:sz w:val="24"/>
          <w:szCs w:val="24"/>
        </w:rPr>
        <w:t>人工实验室</w:t>
      </w:r>
      <w:r>
        <w:rPr>
          <w:rFonts w:hint="eastAsia" w:cs="Times New Roman"/>
          <w:sz w:val="24"/>
          <w:szCs w:val="24"/>
          <w:lang w:eastAsia="zh-CN"/>
        </w:rPr>
        <w:t>”</w:t>
      </w:r>
      <w:r>
        <w:rPr>
          <w:rFonts w:ascii="Times New Roman" w:hAnsi="Times New Roman" w:eastAsia="宋体" w:cs="Times New Roman"/>
          <w:sz w:val="24"/>
          <w:szCs w:val="24"/>
        </w:rPr>
        <w:t>，在真实世界实施之前评估不同制度设计的可能后果。例如，在城市社区垃圾分类推广、农村灌溉系统维护、互联网平台社区公约制定等场景中，ABM模拟可以帮助政策制定者预判不同干预措施的效果，避免</w:t>
      </w:r>
      <w:r>
        <w:rPr>
          <w:rFonts w:hint="eastAsia" w:cs="Times New Roman"/>
          <w:sz w:val="24"/>
          <w:szCs w:val="24"/>
          <w:lang w:eastAsia="zh-CN"/>
        </w:rPr>
        <w:t>“</w:t>
      </w:r>
      <w:r>
        <w:rPr>
          <w:rFonts w:ascii="Times New Roman" w:hAnsi="Times New Roman" w:eastAsia="宋体" w:cs="Times New Roman"/>
          <w:sz w:val="24"/>
          <w:szCs w:val="24"/>
        </w:rPr>
        <w:t>一刀切</w:t>
      </w:r>
      <w:r>
        <w:rPr>
          <w:rFonts w:hint="eastAsia" w:cs="Times New Roman"/>
          <w:sz w:val="24"/>
          <w:szCs w:val="24"/>
          <w:lang w:eastAsia="zh-CN"/>
        </w:rPr>
        <w:t>”</w:t>
      </w:r>
      <w:r>
        <w:rPr>
          <w:rFonts w:ascii="Times New Roman" w:hAnsi="Times New Roman" w:eastAsia="宋体" w:cs="Times New Roman"/>
          <w:sz w:val="24"/>
          <w:szCs w:val="24"/>
        </w:rPr>
        <w:t>政策可能带来的意外后果。</w:t>
      </w:r>
    </w:p>
    <w:p w14:paraId="48B68583">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12" w:name="_Toc9933"/>
      <w:bookmarkStart w:id="13" w:name="_Toc14609"/>
      <w:bookmarkStart w:id="14" w:name="_Toc22975"/>
      <w:bookmarkStart w:id="15" w:name="_Toc22572"/>
      <w:r>
        <w:rPr>
          <w:rFonts w:hint="eastAsia" w:ascii="宋体" w:hAnsi="宋体" w:eastAsia="宋体" w:cs="宋体"/>
          <w:lang w:eastAsia="zh-CN"/>
        </w:rPr>
        <w:t xml:space="preserve">1.3 </w:t>
      </w:r>
      <w:r>
        <w:rPr>
          <w:rFonts w:hint="eastAsia" w:ascii="宋体" w:hAnsi="宋体" w:eastAsia="宋体" w:cs="宋体"/>
        </w:rPr>
        <w:t>综述范围与方法</w:t>
      </w:r>
      <w:bookmarkEnd w:id="12"/>
      <w:bookmarkEnd w:id="13"/>
      <w:bookmarkEnd w:id="14"/>
      <w:bookmarkEnd w:id="15"/>
    </w:p>
    <w:p w14:paraId="29EDE33F">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本综述聚焦于以下范围：</w:t>
      </w:r>
    </w:p>
    <w:p w14:paraId="6A29C614">
      <w:pPr>
        <w:pStyle w:val="11"/>
        <w:keepLines w:val="0"/>
        <w:numPr>
          <w:numId w:val="0"/>
        </w:numPr>
        <w:kinsoku/>
        <w:wordWrap/>
        <w:overflowPunct/>
        <w:topLinePunct w:val="0"/>
        <w:autoSpaceDE/>
        <w:autoSpaceDN/>
        <w:bidi w:val="0"/>
        <w:snapToGrid/>
        <w:spacing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 研究主题：以社会规范的形成与演化、集体行动的涌现机制为核心</w:t>
      </w:r>
    </w:p>
    <w:p w14:paraId="186263AA">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方法边界：采用基于主体建模（ABM）作为主要研究方法</w:t>
      </w:r>
    </w:p>
    <w:p w14:paraId="0F26D28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文献类型：包括经典奠基性文献、系统综述、方法论探讨、经验校准研究和前沿生成式ABM研究</w:t>
      </w:r>
    </w:p>
    <w:p w14:paraId="1152B4CE">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时间跨度：兼顾经典文献与近五年最新进展</w:t>
      </w:r>
    </w:p>
    <w:p w14:paraId="091F80D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文献检索以Web of Science、Scopus、CNKI</w:t>
      </w:r>
      <w:r>
        <w:rPr>
          <w:rFonts w:hint="eastAsia" w:cs="Times New Roman"/>
          <w:sz w:val="24"/>
          <w:szCs w:val="24"/>
          <w:lang w:eastAsia="zh-CN"/>
        </w:rPr>
        <w:t>、</w:t>
      </w:r>
      <w:r>
        <w:rPr>
          <w:rFonts w:hint="eastAsia" w:cs="Times New Roman"/>
          <w:sz w:val="24"/>
          <w:szCs w:val="24"/>
          <w:lang w:val="en-US" w:eastAsia="zh-CN"/>
        </w:rPr>
        <w:t>Sciencedirect、</w:t>
      </w:r>
      <w:r>
        <w:rPr>
          <w:rFonts w:ascii="Times New Roman" w:hAnsi="Times New Roman" w:eastAsia="宋体" w:cs="Times New Roman"/>
          <w:sz w:val="24"/>
          <w:szCs w:val="24"/>
        </w:rPr>
        <w:t>arXiv.org</w:t>
      </w:r>
      <w:r>
        <w:rPr>
          <w:rFonts w:hint="eastAsia" w:cs="Times New Roman"/>
          <w:sz w:val="24"/>
          <w:szCs w:val="24"/>
          <w:lang w:val="en-US" w:eastAsia="zh-CN"/>
        </w:rPr>
        <w:t>等</w:t>
      </w:r>
      <w:r>
        <w:rPr>
          <w:rFonts w:ascii="Times New Roman" w:hAnsi="Times New Roman" w:eastAsia="宋体" w:cs="Times New Roman"/>
          <w:sz w:val="24"/>
          <w:szCs w:val="24"/>
        </w:rPr>
        <w:t>为主要数据库，最终筛选出核心文献，涵盖国内外学者的代表性成果。</w:t>
      </w:r>
    </w:p>
    <w:p w14:paraId="7479B8D8">
      <w:pPr>
        <w:pStyle w:val="2"/>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rPr>
      </w:pPr>
      <w:bookmarkStart w:id="16" w:name="_Toc30509"/>
      <w:bookmarkStart w:id="17" w:name="_Toc19206"/>
      <w:bookmarkStart w:id="18" w:name="_Toc23623"/>
      <w:bookmarkStart w:id="19" w:name="_Toc31159"/>
      <w:r>
        <w:rPr>
          <w:rFonts w:hint="eastAsia"/>
          <w:lang w:eastAsia="zh-CN"/>
        </w:rPr>
        <w:t>二、</w:t>
      </w:r>
      <w:r>
        <w:t>ABM方法论的演进与核心争论</w:t>
      </w:r>
      <w:bookmarkEnd w:id="16"/>
      <w:bookmarkEnd w:id="17"/>
      <w:bookmarkEnd w:id="18"/>
      <w:bookmarkEnd w:id="19"/>
    </w:p>
    <w:p w14:paraId="2C161864">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20" w:name="_Toc26460"/>
      <w:bookmarkStart w:id="21" w:name="_Toc1155"/>
      <w:bookmarkStart w:id="22" w:name="_Toc16881"/>
      <w:r>
        <w:rPr>
          <w:rFonts w:hint="eastAsia" w:ascii="宋体" w:hAnsi="宋体" w:eastAsia="宋体" w:cs="宋体"/>
          <w:lang w:eastAsia="zh-CN"/>
        </w:rPr>
        <w:t xml:space="preserve">2.1 </w:t>
      </w:r>
      <w:r>
        <w:rPr>
          <w:rFonts w:hint="eastAsia" w:ascii="宋体" w:hAnsi="宋体" w:eastAsia="宋体" w:cs="宋体"/>
        </w:rPr>
        <w:t>从</w:t>
      </w:r>
      <w:r>
        <w:rPr>
          <w:rFonts w:hint="eastAsia" w:ascii="宋体" w:hAnsi="宋体" w:eastAsia="宋体" w:cs="宋体"/>
          <w:lang w:eastAsia="zh-CN"/>
        </w:rPr>
        <w:t>“</w:t>
      </w:r>
      <w:r>
        <w:rPr>
          <w:rFonts w:hint="eastAsia" w:ascii="宋体" w:hAnsi="宋体" w:eastAsia="宋体" w:cs="宋体"/>
        </w:rPr>
        <w:t>因素</w:t>
      </w:r>
      <w:r>
        <w:rPr>
          <w:rFonts w:hint="eastAsia" w:ascii="宋体" w:hAnsi="宋体" w:eastAsia="宋体" w:cs="宋体"/>
          <w:lang w:eastAsia="zh-CN"/>
        </w:rPr>
        <w:t>”</w:t>
      </w:r>
      <w:r>
        <w:rPr>
          <w:rFonts w:hint="eastAsia" w:ascii="宋体" w:hAnsi="宋体" w:eastAsia="宋体" w:cs="宋体"/>
        </w:rPr>
        <w:t>到</w:t>
      </w:r>
      <w:r>
        <w:rPr>
          <w:rFonts w:hint="eastAsia" w:ascii="宋体" w:hAnsi="宋体" w:eastAsia="宋体" w:cs="宋体"/>
          <w:lang w:eastAsia="zh-CN"/>
        </w:rPr>
        <w:t>“</w:t>
      </w:r>
      <w:r>
        <w:rPr>
          <w:rFonts w:hint="eastAsia" w:ascii="宋体" w:hAnsi="宋体" w:eastAsia="宋体" w:cs="宋体"/>
        </w:rPr>
        <w:t>行动者</w:t>
      </w:r>
      <w:r>
        <w:rPr>
          <w:rFonts w:hint="eastAsia" w:ascii="宋体" w:hAnsi="宋体" w:eastAsia="宋体" w:cs="宋体"/>
          <w:lang w:eastAsia="zh-CN"/>
        </w:rPr>
        <w:t>”</w:t>
      </w:r>
      <w:r>
        <w:rPr>
          <w:rFonts w:hint="eastAsia" w:ascii="宋体" w:hAnsi="宋体" w:eastAsia="宋体" w:cs="宋体"/>
        </w:rPr>
        <w:t>：ABM的方法论革命</w:t>
      </w:r>
      <w:bookmarkEnd w:id="20"/>
      <w:bookmarkEnd w:id="21"/>
      <w:bookmarkEnd w:id="22"/>
    </w:p>
    <w:p w14:paraId="4B6DEF1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传统社会学研究倾向于将社会过程建模为变量之间的相互作用</w:t>
      </w:r>
      <w:r>
        <w:rPr>
          <w:rFonts w:hint="eastAsia" w:cs="Times New Roman"/>
          <w:sz w:val="24"/>
          <w:szCs w:val="24"/>
          <w:lang w:eastAsia="zh-CN"/>
        </w:rPr>
        <w:t>——</w:t>
      </w:r>
      <w:r>
        <w:rPr>
          <w:rFonts w:ascii="Times New Roman" w:hAnsi="Times New Roman" w:eastAsia="宋体" w:cs="Times New Roman"/>
          <w:sz w:val="24"/>
          <w:szCs w:val="24"/>
        </w:rPr>
        <w:t>将社会结构、规范、制度作为解释因素，考察其对个体行为的影响。ABM则代表了研究视角的根本转换：将社会生活建模为适应性主体之间的互动，这些主体在接受他人影响的同时也影响着他人。</w:t>
      </w:r>
    </w:p>
    <w:p w14:paraId="76F09904">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Macy与Willer的奠基性综述系统阐述了这一转向的实质。在他们看来，ABM的核心价值不在于提供精确预测，而在于揭示</w:t>
      </w:r>
      <w:r>
        <w:rPr>
          <w:rFonts w:hint="eastAsia" w:cs="Times New Roman"/>
          <w:sz w:val="24"/>
          <w:szCs w:val="24"/>
          <w:lang w:eastAsia="zh-CN"/>
        </w:rPr>
        <w:t>“</w:t>
      </w:r>
      <w:r>
        <w:rPr>
          <w:rFonts w:ascii="Times New Roman" w:hAnsi="Times New Roman" w:eastAsia="宋体" w:cs="Times New Roman"/>
          <w:sz w:val="24"/>
          <w:szCs w:val="24"/>
        </w:rPr>
        <w:t>简单且可预测的局部互动如何生成熟悉但费解的全球模式</w:t>
      </w:r>
      <w:r>
        <w:rPr>
          <w:rFonts w:hint="eastAsia" w:cs="Times New Roman"/>
          <w:sz w:val="24"/>
          <w:szCs w:val="24"/>
          <w:lang w:eastAsia="zh-CN"/>
        </w:rPr>
        <w:t>”——</w:t>
      </w:r>
      <w:r>
        <w:rPr>
          <w:rFonts w:ascii="Times New Roman" w:hAnsi="Times New Roman" w:eastAsia="宋体" w:cs="Times New Roman"/>
          <w:sz w:val="24"/>
          <w:szCs w:val="24"/>
        </w:rPr>
        <w:t>信息扩散、规范涌现、惯例协调、集体行动参与等社会现象皆属此类。这种研究进路的独特贡献在于：当关注的宏观模式无法简化为个体属性的加总，同时这一模式又无法脱离微观层面的关系性基础来理解时，ABM提供了必要的理论杠杆。</w:t>
      </w:r>
    </w:p>
    <w:p w14:paraId="06A8AB3D">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Schelling的居住隔离模型是这一方法的经典范例。该模型以极简规则展现了震撼的结论：即使个体对邻里组成的容忍度很高（仅要求邻居中不低于30%与自己同类），宏观层面仍会出现完全隔离的格局。这一发现揭示了微观偏好与宏观后果之间的非直观关联，成为ABM的奠基之作。值得玩味的是，谢林本人并未使用计算机进行模拟，而是通过硬币在棋盘上的移动演示了这一过程，这恰恰说明了ABM的核心思想在于过程导向的生成逻辑，而非单纯的技术依赖。</w:t>
      </w:r>
    </w:p>
    <w:p w14:paraId="68AB1F2A">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rPr>
      </w:pPr>
      <w:bookmarkStart w:id="23" w:name="_Toc29790"/>
      <w:bookmarkStart w:id="24" w:name="_Toc5545"/>
      <w:bookmarkStart w:id="25" w:name="_Toc2821"/>
      <w:bookmarkStart w:id="26" w:name="_Toc29155"/>
      <w:r>
        <w:rPr>
          <w:rFonts w:hint="eastAsia" w:ascii="宋体" w:hAnsi="宋体" w:eastAsia="宋体" w:cs="宋体"/>
          <w:lang w:eastAsia="zh-CN"/>
        </w:rPr>
        <w:t xml:space="preserve">2.2 </w:t>
      </w:r>
      <w:r>
        <w:rPr>
          <w:rFonts w:hint="eastAsia" w:ascii="宋体" w:hAnsi="宋体" w:eastAsia="宋体" w:cs="宋体"/>
        </w:rPr>
        <w:t>机制解释：ABM的说明模式</w:t>
      </w:r>
      <w:bookmarkEnd w:id="23"/>
      <w:bookmarkEnd w:id="24"/>
      <w:bookmarkEnd w:id="25"/>
      <w:bookmarkEnd w:id="26"/>
    </w:p>
    <w:p w14:paraId="42F188F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ABM提供了何种知识？这一问题关乎该方法在社会科学中的合法地位。Elsenbroich对ABM的解释模式进行了系统辩护。她指出，ABM的核心贡献在于揭示社会现象的生成机制</w:t>
      </w:r>
      <w:r>
        <w:rPr>
          <w:rFonts w:hint="eastAsia" w:cs="Times New Roman"/>
          <w:sz w:val="24"/>
          <w:szCs w:val="24"/>
          <w:lang w:eastAsia="zh-CN"/>
        </w:rPr>
        <w:t>——</w:t>
      </w:r>
      <w:r>
        <w:rPr>
          <w:rFonts w:ascii="Times New Roman" w:hAnsi="Times New Roman" w:eastAsia="宋体" w:cs="Times New Roman"/>
          <w:sz w:val="24"/>
          <w:szCs w:val="24"/>
        </w:rPr>
        <w:t>借用Machamer等人提出的</w:t>
      </w:r>
      <w:r>
        <w:rPr>
          <w:rFonts w:hint="eastAsia" w:cs="Times New Roman"/>
          <w:sz w:val="24"/>
          <w:szCs w:val="24"/>
          <w:lang w:eastAsia="zh-CN"/>
        </w:rPr>
        <w:t>“</w:t>
      </w:r>
      <w:r>
        <w:rPr>
          <w:rFonts w:ascii="Times New Roman" w:hAnsi="Times New Roman" w:eastAsia="宋体" w:cs="Times New Roman"/>
          <w:sz w:val="24"/>
          <w:szCs w:val="24"/>
        </w:rPr>
        <w:t>机制解释</w:t>
      </w:r>
      <w:r>
        <w:rPr>
          <w:rFonts w:hint="eastAsia" w:cs="Times New Roman"/>
          <w:sz w:val="24"/>
          <w:szCs w:val="24"/>
          <w:lang w:eastAsia="zh-CN"/>
        </w:rPr>
        <w:t>”</w:t>
      </w:r>
      <w:r>
        <w:rPr>
          <w:rFonts w:ascii="Times New Roman" w:hAnsi="Times New Roman" w:eastAsia="宋体" w:cs="Times New Roman"/>
          <w:sz w:val="24"/>
          <w:szCs w:val="24"/>
        </w:rPr>
        <w:t>框架，ABM能够说明微观实体（智能体）的活动和组织方式如何产生宏观层面的规律性现象。</w:t>
      </w:r>
    </w:p>
    <w:p w14:paraId="322C9EAA">
      <w:pPr>
        <w:pStyle w:val="11"/>
        <w:keepLines w:val="0"/>
        <w:kinsoku/>
        <w:wordWrap/>
        <w:overflowPunct/>
        <w:topLinePunct w:val="0"/>
        <w:autoSpaceDE/>
        <w:autoSpaceDN/>
        <w:bidi w:val="0"/>
        <w:snapToGrid/>
        <w:spacing w:line="360" w:lineRule="auto"/>
        <w:textAlignment w:val="auto"/>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这一解释模式区别于功能解释（回答</w:t>
      </w:r>
      <w:r>
        <w:rPr>
          <w:rFonts w:hint="eastAsia" w:cs="Times New Roman"/>
          <w:sz w:val="24"/>
          <w:szCs w:val="24"/>
          <w:lang w:eastAsia="zh-CN"/>
        </w:rPr>
        <w:t>“</w:t>
      </w:r>
      <w:r>
        <w:rPr>
          <w:rFonts w:ascii="Times New Roman" w:hAnsi="Times New Roman" w:eastAsia="宋体" w:cs="Times New Roman"/>
          <w:sz w:val="24"/>
          <w:szCs w:val="24"/>
        </w:rPr>
        <w:t>有何作用</w:t>
      </w:r>
      <w:r>
        <w:rPr>
          <w:rFonts w:hint="eastAsia" w:cs="Times New Roman"/>
          <w:sz w:val="24"/>
          <w:szCs w:val="24"/>
          <w:lang w:eastAsia="zh-CN"/>
        </w:rPr>
        <w:t>”</w:t>
      </w:r>
      <w:r>
        <w:rPr>
          <w:rFonts w:ascii="Times New Roman" w:hAnsi="Times New Roman" w:eastAsia="宋体" w:cs="Times New Roman"/>
          <w:sz w:val="24"/>
          <w:szCs w:val="24"/>
        </w:rPr>
        <w:t>）和因果解释（回答</w:t>
      </w:r>
      <w:r>
        <w:rPr>
          <w:rFonts w:hint="eastAsia" w:cs="Times New Roman"/>
          <w:sz w:val="24"/>
          <w:szCs w:val="24"/>
          <w:lang w:eastAsia="zh-CN"/>
        </w:rPr>
        <w:t>“</w:t>
      </w:r>
      <w:r>
        <w:rPr>
          <w:rFonts w:ascii="Times New Roman" w:hAnsi="Times New Roman" w:eastAsia="宋体" w:cs="Times New Roman"/>
          <w:sz w:val="24"/>
          <w:szCs w:val="24"/>
        </w:rPr>
        <w:t>由何引起</w:t>
      </w:r>
      <w:r>
        <w:rPr>
          <w:rFonts w:hint="eastAsia" w:cs="Times New Roman"/>
          <w:sz w:val="24"/>
          <w:szCs w:val="24"/>
          <w:lang w:eastAsia="zh-CN"/>
        </w:rPr>
        <w:t>”）</w:t>
      </w:r>
      <w:r>
        <w:rPr>
          <w:rFonts w:ascii="Times New Roman" w:hAnsi="Times New Roman" w:eastAsia="宋体" w:cs="Times New Roman"/>
          <w:sz w:val="24"/>
          <w:szCs w:val="24"/>
        </w:rPr>
        <w:t>，而是聚焦于回答</w:t>
      </w:r>
      <w:r>
        <w:rPr>
          <w:rFonts w:hint="eastAsia" w:cs="Times New Roman"/>
          <w:sz w:val="24"/>
          <w:szCs w:val="24"/>
          <w:lang w:eastAsia="zh-CN"/>
        </w:rPr>
        <w:t>“</w:t>
      </w:r>
      <w:r>
        <w:rPr>
          <w:rFonts w:ascii="Times New Roman" w:hAnsi="Times New Roman" w:eastAsia="宋体" w:cs="Times New Roman"/>
          <w:sz w:val="24"/>
          <w:szCs w:val="24"/>
        </w:rPr>
        <w:t>如何可能</w:t>
      </w:r>
      <w:r>
        <w:rPr>
          <w:rFonts w:hint="eastAsia" w:cs="Times New Roman"/>
          <w:sz w:val="24"/>
          <w:szCs w:val="24"/>
          <w:lang w:eastAsia="zh-CN"/>
        </w:rPr>
        <w:t>”——</w:t>
      </w:r>
      <w:r>
        <w:rPr>
          <w:rFonts w:ascii="Times New Roman" w:hAnsi="Times New Roman" w:eastAsia="宋体" w:cs="Times New Roman"/>
          <w:sz w:val="24"/>
          <w:szCs w:val="24"/>
        </w:rPr>
        <w:t>通过展示宏观现象从微观互动中涌现的具体路径，ABM提供了一种</w:t>
      </w:r>
      <w:r>
        <w:rPr>
          <w:rFonts w:hint="eastAsia" w:cs="Times New Roman"/>
          <w:sz w:val="24"/>
          <w:szCs w:val="24"/>
          <w:lang w:eastAsia="zh-CN"/>
        </w:rPr>
        <w:t>“</w:t>
      </w:r>
      <w:r>
        <w:rPr>
          <w:rFonts w:ascii="Times New Roman" w:hAnsi="Times New Roman" w:eastAsia="宋体" w:cs="Times New Roman"/>
          <w:sz w:val="24"/>
          <w:szCs w:val="24"/>
        </w:rPr>
        <w:t>充分性证明</w:t>
      </w:r>
      <w:r>
        <w:rPr>
          <w:rFonts w:hint="eastAsia" w:cs="Times New Roman"/>
          <w:sz w:val="24"/>
          <w:szCs w:val="24"/>
          <w:lang w:eastAsia="zh-CN"/>
        </w:rPr>
        <w:t>”</w:t>
      </w:r>
      <w:r>
        <w:rPr>
          <w:rFonts w:ascii="Times New Roman" w:hAnsi="Times New Roman" w:eastAsia="宋体" w:cs="Times New Roman"/>
          <w:sz w:val="24"/>
          <w:szCs w:val="24"/>
        </w:rPr>
        <w:t>：给定某些微观假设，能够生成观察到的宏观模式。诚如Epstein所言，如果你不能</w:t>
      </w:r>
      <w:r>
        <w:rPr>
          <w:rFonts w:hint="eastAsia" w:cs="Times New Roman"/>
          <w:sz w:val="24"/>
          <w:szCs w:val="24"/>
          <w:lang w:eastAsia="zh-CN"/>
        </w:rPr>
        <w:t>“</w:t>
      </w:r>
      <w:r>
        <w:rPr>
          <w:rFonts w:ascii="Times New Roman" w:hAnsi="Times New Roman" w:eastAsia="宋体" w:cs="Times New Roman"/>
          <w:sz w:val="24"/>
          <w:szCs w:val="24"/>
        </w:rPr>
        <w:t>生长</w:t>
      </w:r>
      <w:r>
        <w:rPr>
          <w:rFonts w:hint="eastAsia" w:cs="Times New Roman"/>
          <w:sz w:val="24"/>
          <w:szCs w:val="24"/>
          <w:lang w:eastAsia="zh-CN"/>
        </w:rPr>
        <w:t>”</w:t>
      </w:r>
      <w:r>
        <w:rPr>
          <w:rFonts w:ascii="Times New Roman" w:hAnsi="Times New Roman" w:eastAsia="宋体" w:cs="Times New Roman"/>
          <w:sz w:val="24"/>
          <w:szCs w:val="24"/>
        </w:rPr>
        <w:t>出你所研究的现象，那么你就还没有真正理解它</w:t>
      </w:r>
      <w:r>
        <w:rPr>
          <w:rFonts w:hint="eastAsia" w:cs="Times New Roman"/>
          <w:sz w:val="24"/>
          <w:szCs w:val="24"/>
          <w:lang w:eastAsia="zh-CN"/>
        </w:rPr>
        <w:t>。</w:t>
      </w:r>
    </w:p>
    <w:p w14:paraId="1A60208D">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27" w:name="_Toc9136"/>
      <w:bookmarkStart w:id="28" w:name="_Toc21254"/>
      <w:bookmarkStart w:id="29" w:name="_Toc3538"/>
      <w:bookmarkStart w:id="30" w:name="_Toc23192"/>
      <w:r>
        <w:rPr>
          <w:rFonts w:hint="eastAsia" w:ascii="宋体" w:hAnsi="宋体" w:eastAsia="宋体" w:cs="宋体"/>
          <w:lang w:eastAsia="zh-CN"/>
        </w:rPr>
        <w:t xml:space="preserve">2.3 </w:t>
      </w:r>
      <w:r>
        <w:rPr>
          <w:rFonts w:hint="eastAsia" w:ascii="宋体" w:hAnsi="宋体" w:eastAsia="宋体" w:cs="宋体"/>
        </w:rPr>
        <w:t>ABM面临的核心批评</w:t>
      </w:r>
      <w:bookmarkEnd w:id="27"/>
      <w:bookmarkEnd w:id="28"/>
      <w:bookmarkEnd w:id="29"/>
      <w:bookmarkEnd w:id="30"/>
    </w:p>
    <w:p w14:paraId="2CFC0793">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尽管ABM具有理论潜力，其在社会科学中的采纳长期面临两方面的核心批评：</w:t>
      </w:r>
    </w:p>
    <w:p w14:paraId="1CB6F94A">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第一，行为假设的简化问题。为便于计算实现，早期ABM往往将个体表征为简单的规则遵循者或效用最大化者，难以捕捉人类决策的复杂性</w:t>
      </w:r>
      <w:r>
        <w:rPr>
          <w:rFonts w:hint="eastAsia" w:cs="Times New Roman"/>
          <w:sz w:val="24"/>
          <w:szCs w:val="24"/>
          <w:lang w:eastAsia="zh-CN"/>
        </w:rPr>
        <w:t>——</w:t>
      </w:r>
      <w:r>
        <w:rPr>
          <w:rFonts w:ascii="Times New Roman" w:hAnsi="Times New Roman" w:eastAsia="宋体" w:cs="Times New Roman"/>
          <w:sz w:val="24"/>
          <w:szCs w:val="24"/>
        </w:rPr>
        <w:t>包括叙事推理、情感、社会规范内化、认知偏差等维度。每个模型都是针对特定社会现象的定制化表征，导致模型之间难以比较，研究发现的累积性受限。Prawitz等人的系统综述指出，多数模型仍局限于理性选择理论，缺乏对更丰富行为理论的整合。</w:t>
      </w:r>
    </w:p>
    <w:p w14:paraId="099CC8F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二，经验校准与验证困境。ABM常被批评缺乏与经验世界的清晰关联，更多反映建模者的直觉而非人类行为的现实。由于模型包含大量行为假设，参数空间庞大，严格的经验校准和验证极为困难。如Larooij与Törnberg所指出的，未经严格验证的模型</w:t>
      </w:r>
      <w:r>
        <w:rPr>
          <w:rFonts w:hint="eastAsia" w:cs="Times New Roman"/>
          <w:sz w:val="24"/>
          <w:szCs w:val="24"/>
          <w:lang w:eastAsia="zh-CN"/>
        </w:rPr>
        <w:t>“</w:t>
      </w:r>
      <w:r>
        <w:rPr>
          <w:rFonts w:ascii="Times New Roman" w:hAnsi="Times New Roman" w:eastAsia="宋体" w:cs="Times New Roman"/>
          <w:sz w:val="24"/>
          <w:szCs w:val="24"/>
        </w:rPr>
        <w:t>缺乏意义</w:t>
      </w:r>
      <w:r>
        <w:rPr>
          <w:rFonts w:hint="eastAsia" w:cs="Times New Roman"/>
          <w:sz w:val="24"/>
          <w:szCs w:val="24"/>
          <w:lang w:eastAsia="zh-CN"/>
        </w:rPr>
        <w:t>”</w:t>
      </w:r>
      <w:r>
        <w:rPr>
          <w:rFonts w:ascii="Times New Roman" w:hAnsi="Times New Roman" w:eastAsia="宋体" w:cs="Times New Roman"/>
          <w:sz w:val="24"/>
          <w:szCs w:val="24"/>
        </w:rPr>
        <w:t>，无法增进对模拟系统的理解。这一问题在生成式ABM兴起后变得更为突出。</w:t>
      </w:r>
    </w:p>
    <w:p w14:paraId="00480D0A">
      <w:pPr>
        <w:pStyle w:val="2"/>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rPr>
      </w:pPr>
      <w:bookmarkStart w:id="31" w:name="_Toc1449"/>
      <w:bookmarkStart w:id="32" w:name="_Toc2963"/>
      <w:bookmarkStart w:id="33" w:name="_Toc18080"/>
      <w:bookmarkStart w:id="34" w:name="_Toc16267"/>
      <w:r>
        <w:rPr>
          <w:rFonts w:hint="eastAsia"/>
          <w:lang w:eastAsia="zh-CN"/>
        </w:rPr>
        <w:t>三、</w:t>
      </w:r>
      <w:r>
        <w:t>社会规范与集体行动的ABM研究脉络</w:t>
      </w:r>
      <w:bookmarkEnd w:id="31"/>
      <w:bookmarkEnd w:id="32"/>
      <w:bookmarkEnd w:id="33"/>
      <w:bookmarkEnd w:id="34"/>
    </w:p>
    <w:p w14:paraId="39F5F30A">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35" w:name="_Toc27107"/>
      <w:bookmarkStart w:id="36" w:name="_Toc29615"/>
      <w:bookmarkStart w:id="37" w:name="_Toc3075"/>
      <w:bookmarkStart w:id="38" w:name="_Toc22897"/>
      <w:r>
        <w:rPr>
          <w:rFonts w:hint="eastAsia" w:ascii="宋体" w:hAnsi="宋体" w:eastAsia="宋体" w:cs="宋体"/>
          <w:lang w:eastAsia="zh-CN"/>
        </w:rPr>
        <w:t xml:space="preserve">3.1 </w:t>
      </w:r>
      <w:r>
        <w:rPr>
          <w:rFonts w:hint="eastAsia" w:ascii="宋体" w:hAnsi="宋体" w:eastAsia="宋体" w:cs="宋体"/>
        </w:rPr>
        <w:t>奠基性工作：谢林模型的思想遗产</w:t>
      </w:r>
      <w:bookmarkEnd w:id="35"/>
      <w:bookmarkEnd w:id="36"/>
      <w:bookmarkEnd w:id="37"/>
      <w:bookmarkEnd w:id="38"/>
    </w:p>
    <w:p w14:paraId="43132AB0">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如前所述，Schelling的隔离模型不仅是方法论的典范，更开创了用简单规则生成复杂社会模式的研究传统。其方法论启示在于：它展示了如何用简单的局部互动规则生成复杂的社会模式，而不需要预设中央协调或集体意图。这种研究策略为此后社会规范与集体行动的建模奠定了范式基础。</w:t>
      </w:r>
    </w:p>
    <w:p w14:paraId="1AA42DB5">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值得注意的是，谢林模型的核心洞见在于</w:t>
      </w:r>
      <w:r>
        <w:rPr>
          <w:rFonts w:hint="eastAsia" w:cs="Times New Roman"/>
          <w:sz w:val="24"/>
          <w:szCs w:val="24"/>
          <w:lang w:eastAsia="zh-CN"/>
        </w:rPr>
        <w:t>“</w:t>
      </w:r>
      <w:r>
        <w:rPr>
          <w:rFonts w:ascii="Times New Roman" w:hAnsi="Times New Roman" w:eastAsia="宋体" w:cs="Times New Roman"/>
          <w:sz w:val="24"/>
          <w:szCs w:val="24"/>
        </w:rPr>
        <w:t>宏观后果的不可预期性</w:t>
      </w:r>
      <w:r>
        <w:rPr>
          <w:rFonts w:hint="eastAsia" w:cs="Times New Roman"/>
          <w:sz w:val="24"/>
          <w:szCs w:val="24"/>
          <w:lang w:eastAsia="zh-CN"/>
        </w:rPr>
        <w:t>”——</w:t>
      </w:r>
      <w:r>
        <w:rPr>
          <w:rFonts w:ascii="Times New Roman" w:hAnsi="Times New Roman" w:eastAsia="宋体" w:cs="Times New Roman"/>
          <w:sz w:val="24"/>
          <w:szCs w:val="24"/>
        </w:rPr>
        <w:t>个体层面的宽容偏好完全可能导向宏观层面的彻底隔离。这一发现对公共政策具有深远启示：试图通过改变个体态度来促进社会融合，可能收效甚微，因为宏观格局一旦形成便具有路径依赖性。类似地，在社区治理中，居民个体的合作意愿未必能直接转化为整体的合作秩序，这正是ABM模拟可以发挥作用的领域。</w:t>
      </w:r>
    </w:p>
    <w:p w14:paraId="79DCD7CB">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39" w:name="_Toc20723"/>
      <w:bookmarkStart w:id="40" w:name="_Toc6921"/>
      <w:bookmarkStart w:id="41" w:name="_Toc4642"/>
      <w:bookmarkStart w:id="42" w:name="_Toc32693"/>
      <w:r>
        <w:rPr>
          <w:rFonts w:hint="eastAsia" w:ascii="宋体" w:hAnsi="宋体" w:eastAsia="宋体" w:cs="宋体"/>
          <w:lang w:eastAsia="zh-CN"/>
        </w:rPr>
        <w:t xml:space="preserve">3.2 </w:t>
      </w:r>
      <w:r>
        <w:rPr>
          <w:rFonts w:hint="eastAsia" w:ascii="宋体" w:hAnsi="宋体" w:eastAsia="宋体" w:cs="宋体"/>
        </w:rPr>
        <w:t>合作与规范的演化：博弈论路径</w:t>
      </w:r>
      <w:bookmarkEnd w:id="39"/>
      <w:bookmarkEnd w:id="40"/>
      <w:bookmarkEnd w:id="41"/>
      <w:bookmarkEnd w:id="42"/>
    </w:p>
    <w:p w14:paraId="0BDE225E">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受Axelrod</w:t>
      </w:r>
      <w:r>
        <w:rPr>
          <w:rFonts w:hint="eastAsia" w:cs="Times New Roman"/>
          <w:sz w:val="24"/>
          <w:szCs w:val="24"/>
          <w:lang w:eastAsia="zh-CN"/>
        </w:rPr>
        <w:t>“</w:t>
      </w:r>
      <w:r>
        <w:rPr>
          <w:rFonts w:ascii="Times New Roman" w:hAnsi="Times New Roman" w:eastAsia="宋体" w:cs="Times New Roman"/>
          <w:sz w:val="24"/>
          <w:szCs w:val="24"/>
        </w:rPr>
        <w:t>合作的演化</w:t>
      </w:r>
      <w:r>
        <w:rPr>
          <w:rFonts w:hint="eastAsia" w:cs="Times New Roman"/>
          <w:sz w:val="24"/>
          <w:szCs w:val="24"/>
          <w:lang w:eastAsia="zh-CN"/>
        </w:rPr>
        <w:t>”</w:t>
      </w:r>
      <w:r>
        <w:rPr>
          <w:rFonts w:ascii="Times New Roman" w:hAnsi="Times New Roman" w:eastAsia="宋体" w:cs="Times New Roman"/>
          <w:sz w:val="24"/>
          <w:szCs w:val="24"/>
        </w:rPr>
        <w:t>研究的启发，博弈论成为ABM中研究规范与合作的主流框架。这类研究将社会互动建模为重复博弈，考察在何种条件下合作策略能够从自利个体中涌现并稳定存在。</w:t>
      </w:r>
    </w:p>
    <w:p w14:paraId="437DA578">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Nowak系统总结了合作演化的五种机制：亲缘选择、直接互惠、间接互惠、网络互惠和群体选择，为ABM建模提供了理论框架。Hauert等人通过演化博弈模型揭示，在公共品博弈中引入</w:t>
      </w:r>
      <w:r>
        <w:rPr>
          <w:rFonts w:hint="eastAsia" w:cs="Times New Roman"/>
          <w:sz w:val="24"/>
          <w:szCs w:val="24"/>
          <w:lang w:eastAsia="zh-CN"/>
        </w:rPr>
        <w:t>“</w:t>
      </w:r>
      <w:r>
        <w:rPr>
          <w:rFonts w:ascii="Times New Roman" w:hAnsi="Times New Roman" w:eastAsia="宋体" w:cs="Times New Roman"/>
          <w:sz w:val="24"/>
          <w:szCs w:val="24"/>
        </w:rPr>
        <w:t>志愿者</w:t>
      </w:r>
      <w:r>
        <w:rPr>
          <w:rFonts w:hint="eastAsia" w:cs="Times New Roman"/>
          <w:sz w:val="24"/>
          <w:szCs w:val="24"/>
          <w:lang w:eastAsia="zh-CN"/>
        </w:rPr>
        <w:t>”</w:t>
      </w:r>
      <w:r>
        <w:rPr>
          <w:rFonts w:ascii="Times New Roman" w:hAnsi="Times New Roman" w:eastAsia="宋体" w:cs="Times New Roman"/>
          <w:sz w:val="24"/>
          <w:szCs w:val="24"/>
        </w:rPr>
        <w:t>选项（可选择不参与）能够自发维持合作，是理解异质性作用的经典模型。Gintis从基因</w:t>
      </w:r>
      <w:r>
        <w:rPr>
          <w:rFonts w:hint="eastAsia" w:cs="Times New Roman"/>
          <w:sz w:val="24"/>
          <w:szCs w:val="24"/>
          <w:lang w:eastAsia="zh-CN"/>
        </w:rPr>
        <w:t>—</w:t>
      </w:r>
      <w:r>
        <w:rPr>
          <w:rFonts w:ascii="Times New Roman" w:hAnsi="Times New Roman" w:eastAsia="宋体" w:cs="Times New Roman"/>
          <w:sz w:val="24"/>
          <w:szCs w:val="24"/>
        </w:rPr>
        <w:t>文化共演化视角探讨规范内化的演化基础，为将</w:t>
      </w:r>
      <w:r>
        <w:rPr>
          <w:rFonts w:hint="eastAsia" w:cs="Times New Roman"/>
          <w:sz w:val="24"/>
          <w:szCs w:val="24"/>
          <w:lang w:eastAsia="zh-CN"/>
        </w:rPr>
        <w:t>“</w:t>
      </w:r>
      <w:r>
        <w:rPr>
          <w:rFonts w:ascii="Times New Roman" w:hAnsi="Times New Roman" w:eastAsia="宋体" w:cs="Times New Roman"/>
          <w:sz w:val="24"/>
          <w:szCs w:val="24"/>
        </w:rPr>
        <w:t>内在规范</w:t>
      </w:r>
      <w:r>
        <w:rPr>
          <w:rFonts w:hint="eastAsia" w:cs="Times New Roman"/>
          <w:sz w:val="24"/>
          <w:szCs w:val="24"/>
          <w:lang w:eastAsia="zh-CN"/>
        </w:rPr>
        <w:t>”</w:t>
      </w:r>
      <w:r>
        <w:rPr>
          <w:rFonts w:ascii="Times New Roman" w:hAnsi="Times New Roman" w:eastAsia="宋体" w:cs="Times New Roman"/>
          <w:sz w:val="24"/>
          <w:szCs w:val="24"/>
        </w:rPr>
        <w:t>纳入ABM提供理论依据。</w:t>
      </w:r>
    </w:p>
    <w:p w14:paraId="606B9ADD">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近年来，国内学者在博弈论路径上贡献了新的洞见。</w:t>
      </w:r>
      <w:r>
        <w:rPr>
          <w:rFonts w:hint="eastAsia" w:ascii="Times New Roman" w:hAnsi="Times New Roman" w:eastAsia="宋体" w:cs="Times New Roman"/>
          <w:sz w:val="24"/>
          <w:szCs w:val="24"/>
        </w:rPr>
        <w:t>Jiang Z</w:t>
      </w:r>
      <w:r>
        <w:rPr>
          <w:rFonts w:ascii="Times New Roman" w:hAnsi="Times New Roman" w:eastAsia="宋体" w:cs="Times New Roman"/>
          <w:sz w:val="24"/>
          <w:szCs w:val="24"/>
        </w:rPr>
        <w:t>等人探讨了在个体合作偏好异质性的条件下，承诺机制能否促进合作。研究发现承诺仍能保障合作，但效果减弱，且承诺的设置方式至关重要</w:t>
      </w:r>
      <w:r>
        <w:rPr>
          <w:rFonts w:hint="eastAsia" w:cs="Times New Roman"/>
          <w:sz w:val="24"/>
          <w:szCs w:val="24"/>
          <w:lang w:eastAsia="zh-CN"/>
        </w:rPr>
        <w:t>——</w:t>
      </w:r>
      <w:r>
        <w:rPr>
          <w:rFonts w:ascii="Times New Roman" w:hAnsi="Times New Roman" w:eastAsia="宋体" w:cs="Times New Roman"/>
          <w:sz w:val="24"/>
          <w:szCs w:val="24"/>
        </w:rPr>
        <w:t>承诺并非万能灵药，其效果高度依赖于参与者的异质性构成。这一发现对现实世界中在线社区、开源项目等合作生产场景具有直接启示意义。</w:t>
      </w:r>
      <w:r>
        <w:rPr>
          <w:rFonts w:hint="eastAsia" w:ascii="Times New Roman" w:hAnsi="Times New Roman" w:eastAsia="宋体" w:cs="Times New Roman"/>
          <w:sz w:val="24"/>
          <w:szCs w:val="24"/>
        </w:rPr>
        <w:t>Ling T</w:t>
      </w:r>
      <w:r>
        <w:rPr>
          <w:rFonts w:ascii="Times New Roman" w:hAnsi="Times New Roman" w:eastAsia="宋体" w:cs="Times New Roman"/>
          <w:sz w:val="24"/>
          <w:szCs w:val="24"/>
        </w:rPr>
        <w:t>等人采用相互依赖网络方法，建模监督者（裁判）与玩家的共演化，揭示了监督机制与腐败行为的复杂互动。他们的研究发现，公平裁判惩罚背叛者，腐败裁判接受贿赂保持沉默，而高额罚款和贿赂能促进合作，贿赂的存在对背叛者的危害与严厉罚款相当。这一发现揭示了监督机制设计的微妙之处：适度的贿赂空间反而可能强化合作，因为背叛者面临着双重风险。</w:t>
      </w:r>
    </w:p>
    <w:p w14:paraId="43C295BC">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43" w:name="_Toc2559"/>
      <w:bookmarkStart w:id="44" w:name="_Toc1823"/>
      <w:bookmarkStart w:id="45" w:name="_Toc19423"/>
      <w:bookmarkStart w:id="46" w:name="_Toc1651"/>
      <w:r>
        <w:rPr>
          <w:rFonts w:hint="eastAsia"/>
          <w:b w:val="0"/>
          <w:bCs w:val="0"/>
          <w:lang w:eastAsia="zh-CN"/>
        </w:rPr>
        <w:t xml:space="preserve">3.3 </w:t>
      </w:r>
      <w:r>
        <w:rPr>
          <w:b w:val="0"/>
          <w:bCs w:val="0"/>
        </w:rPr>
        <w:t>公共池塘资源与社会</w:t>
      </w:r>
      <w:r>
        <w:rPr>
          <w:rFonts w:hint="eastAsia"/>
          <w:b w:val="0"/>
          <w:bCs w:val="0"/>
          <w:lang w:eastAsia="zh-CN"/>
        </w:rPr>
        <w:t>—</w:t>
      </w:r>
      <w:r>
        <w:rPr>
          <w:b w:val="0"/>
          <w:bCs w:val="0"/>
        </w:rPr>
        <w:t>生态系统</w:t>
      </w:r>
      <w:bookmarkEnd w:id="43"/>
      <w:bookmarkEnd w:id="44"/>
      <w:bookmarkEnd w:id="45"/>
      <w:bookmarkEnd w:id="46"/>
    </w:p>
    <w:p w14:paraId="5F20408B">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Ostrom的公共池塘资源治理研究为ABM提供了丰富的经验土壤。她系统阐述了社区如何通过自组织制度安排克服集体行动困境，并后续在《理解制度多样性》中提出制度分析与发展框架，为ABM中制度建模提供分析工具。</w:t>
      </w:r>
    </w:p>
    <w:p w14:paraId="3F83A36E">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Prawitz等人最新发表的系统综述对</w:t>
      </w:r>
      <w:r>
        <w:rPr>
          <w:rFonts w:hint="eastAsia" w:cs="Times New Roman"/>
          <w:sz w:val="24"/>
          <w:szCs w:val="24"/>
          <w:lang w:eastAsia="zh-CN"/>
        </w:rPr>
        <w:t>“</w:t>
      </w:r>
      <w:r>
        <w:rPr>
          <w:rFonts w:ascii="Times New Roman" w:hAnsi="Times New Roman" w:eastAsia="宋体" w:cs="Times New Roman"/>
          <w:sz w:val="24"/>
          <w:szCs w:val="24"/>
        </w:rPr>
        <w:t>社会</w:t>
      </w:r>
      <w:r>
        <w:rPr>
          <w:rFonts w:hint="eastAsia" w:cs="Times New Roman"/>
          <w:sz w:val="24"/>
          <w:szCs w:val="24"/>
          <w:lang w:eastAsia="zh-CN"/>
        </w:rPr>
        <w:t>—</w:t>
      </w:r>
      <w:r>
        <w:rPr>
          <w:rFonts w:ascii="Times New Roman" w:hAnsi="Times New Roman" w:eastAsia="宋体" w:cs="Times New Roman"/>
          <w:sz w:val="24"/>
          <w:szCs w:val="24"/>
        </w:rPr>
        <w:t>生态系统中的社会规范建模</w:t>
      </w:r>
      <w:r>
        <w:rPr>
          <w:rFonts w:hint="eastAsia" w:cs="Times New Roman"/>
          <w:sz w:val="24"/>
          <w:szCs w:val="24"/>
          <w:lang w:eastAsia="zh-CN"/>
        </w:rPr>
        <w:t>”</w:t>
      </w:r>
      <w:r>
        <w:rPr>
          <w:rFonts w:ascii="Times New Roman" w:hAnsi="Times New Roman" w:eastAsia="宋体" w:cs="Times New Roman"/>
          <w:sz w:val="24"/>
          <w:szCs w:val="24"/>
        </w:rPr>
        <w:t>进行了全面梳理。基于159篇文献的分析显示：两大主导主题为</w:t>
      </w:r>
      <w:r>
        <w:rPr>
          <w:rFonts w:hint="eastAsia" w:cs="Times New Roman"/>
          <w:sz w:val="24"/>
          <w:szCs w:val="24"/>
          <w:lang w:eastAsia="zh-CN"/>
        </w:rPr>
        <w:t>“</w:t>
      </w:r>
      <w:r>
        <w:rPr>
          <w:rFonts w:ascii="Times New Roman" w:hAnsi="Times New Roman" w:eastAsia="宋体" w:cs="Times New Roman"/>
          <w:sz w:val="24"/>
          <w:szCs w:val="24"/>
        </w:rPr>
        <w:t>公共池塘资源管理</w:t>
      </w:r>
      <w:r>
        <w:rPr>
          <w:rFonts w:hint="eastAsia" w:cs="Times New Roman"/>
          <w:sz w:val="24"/>
          <w:szCs w:val="24"/>
          <w:lang w:eastAsia="zh-CN"/>
        </w:rPr>
        <w:t>”</w:t>
      </w:r>
      <w:r>
        <w:rPr>
          <w:rFonts w:ascii="Times New Roman" w:hAnsi="Times New Roman" w:eastAsia="宋体" w:cs="Times New Roman"/>
          <w:sz w:val="24"/>
          <w:szCs w:val="24"/>
        </w:rPr>
        <w:t>和</w:t>
      </w:r>
      <w:r>
        <w:rPr>
          <w:rFonts w:hint="eastAsia" w:cs="Times New Roman"/>
          <w:sz w:val="24"/>
          <w:szCs w:val="24"/>
          <w:lang w:eastAsia="zh-CN"/>
        </w:rPr>
        <w:t>“</w:t>
      </w:r>
      <w:r>
        <w:rPr>
          <w:rFonts w:ascii="Times New Roman" w:hAnsi="Times New Roman" w:eastAsia="宋体" w:cs="Times New Roman"/>
          <w:sz w:val="24"/>
          <w:szCs w:val="24"/>
        </w:rPr>
        <w:t>个体消费行为</w:t>
      </w:r>
      <w:r>
        <w:rPr>
          <w:rFonts w:hint="eastAsia" w:cs="Times New Roman"/>
          <w:sz w:val="24"/>
          <w:szCs w:val="24"/>
          <w:lang w:eastAsia="zh-CN"/>
        </w:rPr>
        <w:t>”</w:t>
      </w:r>
      <w:r>
        <w:rPr>
          <w:rFonts w:ascii="Times New Roman" w:hAnsi="Times New Roman" w:eastAsia="宋体" w:cs="Times New Roman"/>
          <w:sz w:val="24"/>
          <w:szCs w:val="24"/>
        </w:rPr>
        <w:t>，印证了环境治理和资源可持续性是规范研究的核心应用场景；多数模型聚焦于本地或区域尺度，以理论探索型为主；描述性规范多被处理为内生变量，而指令性规范则多为外生给定，不同类型规范的互动研究不足。这一发现揭示了现有研究的重要局限：规范不是铁板一块，不同类型的规范之间存在着复杂的互动关系，而现有模型对此关注甚少。</w:t>
      </w:r>
    </w:p>
    <w:p w14:paraId="01C97C58">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Schlüter等人提出了将多种行为理论纳入社会</w:t>
      </w:r>
      <w:r>
        <w:rPr>
          <w:rFonts w:hint="eastAsia" w:cs="Times New Roman"/>
          <w:sz w:val="24"/>
          <w:szCs w:val="24"/>
          <w:lang w:eastAsia="zh-CN"/>
        </w:rPr>
        <w:t>—</w:t>
      </w:r>
      <w:r>
        <w:rPr>
          <w:rFonts w:ascii="Times New Roman" w:hAnsi="Times New Roman" w:eastAsia="宋体" w:cs="Times New Roman"/>
          <w:sz w:val="24"/>
          <w:szCs w:val="24"/>
        </w:rPr>
        <w:t>生态系统模型的形式化框架，对整合心理学和社会学理论与ABM有重要参考价值。</w:t>
      </w:r>
      <w:r>
        <w:rPr>
          <w:rFonts w:hint="eastAsia" w:ascii="Times New Roman" w:hAnsi="Times New Roman" w:eastAsia="宋体" w:cs="Times New Roman"/>
          <w:sz w:val="24"/>
          <w:szCs w:val="24"/>
        </w:rPr>
        <w:t>Dong Y</w:t>
      </w:r>
      <w:r>
        <w:rPr>
          <w:rFonts w:ascii="Times New Roman" w:hAnsi="Times New Roman" w:eastAsia="宋体" w:cs="Times New Roman"/>
          <w:sz w:val="24"/>
          <w:szCs w:val="24"/>
        </w:rPr>
        <w:t>与</w:t>
      </w:r>
      <w:r>
        <w:rPr>
          <w:rFonts w:hint="eastAsia" w:ascii="Times New Roman" w:hAnsi="Times New Roman" w:eastAsia="宋体" w:cs="Times New Roman"/>
          <w:sz w:val="24"/>
          <w:szCs w:val="24"/>
        </w:rPr>
        <w:t>You W</w:t>
      </w:r>
      <w:r>
        <w:rPr>
          <w:rFonts w:ascii="Times New Roman" w:hAnsi="Times New Roman" w:eastAsia="宋体" w:cs="Times New Roman"/>
          <w:sz w:val="24"/>
          <w:szCs w:val="24"/>
        </w:rPr>
        <w:t>构建ABM模型模拟政府、企业、公众和环保非政府组织在公共生态产品供给中的行为规则和动态过程，并以北京市水务行业数据进行参数校准，验证了模型有效性，展现了多主体协同治理的模拟可能。</w:t>
      </w:r>
    </w:p>
    <w:p w14:paraId="0CC6276A">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上述国际研究揭示了社会规范在公共池塘资源治理中的普遍作用，但这些研究多基于西方个体主义文化背景。中国社会以“关系”“面子”为特征的社会交往逻辑，对规范的形成与演化提出了独特的理论问题。以下将梳理中国情境下的本土化探索。</w:t>
      </w:r>
    </w:p>
    <w:p w14:paraId="7669051F">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47" w:name="_Toc22482"/>
      <w:bookmarkStart w:id="48" w:name="_Toc22752"/>
      <w:bookmarkStart w:id="49" w:name="_Toc3463"/>
      <w:bookmarkStart w:id="50" w:name="_Toc17733"/>
      <w:r>
        <w:rPr>
          <w:rFonts w:hint="eastAsia" w:ascii="宋体" w:hAnsi="宋体" w:eastAsia="宋体" w:cs="宋体"/>
          <w:lang w:eastAsia="zh-CN"/>
        </w:rPr>
        <w:t xml:space="preserve">3.4 </w:t>
      </w:r>
      <w:r>
        <w:rPr>
          <w:rFonts w:hint="eastAsia" w:ascii="宋体" w:hAnsi="宋体" w:eastAsia="宋体" w:cs="宋体"/>
        </w:rPr>
        <w:t>中国情境下的探索：关系、面子与本土化尝试</w:t>
      </w:r>
      <w:bookmarkEnd w:id="47"/>
      <w:bookmarkEnd w:id="48"/>
      <w:bookmarkEnd w:id="49"/>
      <w:bookmarkEnd w:id="50"/>
    </w:p>
    <w:p w14:paraId="166C54E3">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将ABM应用于中国本土情境的研究尚处起步阶段，但已呈现出独特的问题意识和理论潜力。中国社会以</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人情</w:t>
      </w:r>
      <w:r>
        <w:rPr>
          <w:rFonts w:hint="eastAsia" w:cs="Times New Roman"/>
          <w:sz w:val="24"/>
          <w:szCs w:val="24"/>
          <w:lang w:eastAsia="zh-CN"/>
        </w:rPr>
        <w:t>”</w:t>
      </w:r>
      <w:r>
        <w:rPr>
          <w:rFonts w:ascii="Times New Roman" w:hAnsi="Times New Roman" w:eastAsia="宋体" w:cs="Times New Roman"/>
          <w:sz w:val="24"/>
          <w:szCs w:val="24"/>
        </w:rPr>
        <w:t>为特征的社会交往逻辑，与西方个体主义文化存在显著差异，这对社会规范的形成与集体行动的涌现机制提出了新的研究问题。</w:t>
      </w:r>
    </w:p>
    <w:p w14:paraId="79DCC9E7">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在农村公共事务治理领域，</w:t>
      </w:r>
      <w:r>
        <w:rPr>
          <w:rFonts w:hint="eastAsia" w:cs="Times New Roman"/>
          <w:sz w:val="24"/>
          <w:szCs w:val="24"/>
          <w:lang w:eastAsia="zh-CN"/>
        </w:rPr>
        <w:t>“</w:t>
      </w:r>
      <w:r>
        <w:rPr>
          <w:rFonts w:ascii="Times New Roman" w:hAnsi="Times New Roman" w:eastAsia="宋体" w:cs="Times New Roman"/>
          <w:sz w:val="24"/>
          <w:szCs w:val="24"/>
        </w:rPr>
        <w:t>差序格局</w:t>
      </w:r>
      <w:r>
        <w:rPr>
          <w:rFonts w:hint="eastAsia" w:cs="Times New Roman"/>
          <w:sz w:val="24"/>
          <w:szCs w:val="24"/>
          <w:lang w:eastAsia="zh-CN"/>
        </w:rPr>
        <w:t>”</w:t>
      </w:r>
      <w:r>
        <w:rPr>
          <w:rFonts w:ascii="Times New Roman" w:hAnsi="Times New Roman" w:eastAsia="宋体" w:cs="Times New Roman"/>
          <w:sz w:val="24"/>
          <w:szCs w:val="24"/>
        </w:rPr>
        <w:t>概念的量化与形式化是近年来的重要理论进展。张驰、岳中刚与王飞（2021）受费孝通</w:t>
      </w:r>
      <w:r>
        <w:rPr>
          <w:rFonts w:hint="eastAsia" w:cs="Times New Roman"/>
          <w:sz w:val="24"/>
          <w:szCs w:val="24"/>
          <w:lang w:eastAsia="zh-CN"/>
        </w:rPr>
        <w:t>“</w:t>
      </w:r>
      <w:r>
        <w:rPr>
          <w:rFonts w:ascii="Times New Roman" w:hAnsi="Times New Roman" w:eastAsia="宋体" w:cs="Times New Roman"/>
          <w:sz w:val="24"/>
          <w:szCs w:val="24"/>
        </w:rPr>
        <w:t>差序格局</w:t>
      </w:r>
      <w:r>
        <w:rPr>
          <w:rFonts w:hint="eastAsia" w:cs="Times New Roman"/>
          <w:sz w:val="24"/>
          <w:szCs w:val="24"/>
          <w:lang w:eastAsia="zh-CN"/>
        </w:rPr>
        <w:t>”</w:t>
      </w:r>
      <w:r>
        <w:rPr>
          <w:rFonts w:ascii="Times New Roman" w:hAnsi="Times New Roman" w:eastAsia="宋体" w:cs="Times New Roman"/>
          <w:sz w:val="24"/>
          <w:szCs w:val="24"/>
        </w:rPr>
        <w:t>理论启发，将个人禀赋和关系强度纳入社会网络分析范畴，借助合作博弈理论构建了针对</w:t>
      </w:r>
      <w:r>
        <w:rPr>
          <w:rFonts w:hint="eastAsia" w:cs="Times New Roman"/>
          <w:sz w:val="24"/>
          <w:szCs w:val="24"/>
          <w:lang w:eastAsia="zh-CN"/>
        </w:rPr>
        <w:t>“</w:t>
      </w:r>
      <w:r>
        <w:rPr>
          <w:rFonts w:ascii="Times New Roman" w:hAnsi="Times New Roman" w:eastAsia="宋体" w:cs="Times New Roman"/>
          <w:sz w:val="24"/>
          <w:szCs w:val="24"/>
        </w:rPr>
        <w:t>关系人</w:t>
      </w:r>
      <w:r>
        <w:rPr>
          <w:rFonts w:hint="eastAsia" w:cs="Times New Roman"/>
          <w:sz w:val="24"/>
          <w:szCs w:val="24"/>
          <w:lang w:eastAsia="zh-CN"/>
        </w:rPr>
        <w:t>”</w:t>
      </w:r>
      <w:r>
        <w:rPr>
          <w:rFonts w:ascii="Times New Roman" w:hAnsi="Times New Roman" w:eastAsia="宋体" w:cs="Times New Roman"/>
          <w:sz w:val="24"/>
          <w:szCs w:val="24"/>
        </w:rPr>
        <w:t>的分析框架。他们的研究表明，将关系强度和个人禀赋纳入量化分析框架后，在评估节点重要性方面比传统中心性指标更加有效，且分析结果具有稳健性。这一研究虽非直接的ABM建模，但为后续将“差序格局”引入ABM模型奠定了重要的方法论基础</w:t>
      </w:r>
      <w:r>
        <w:rPr>
          <w:rFonts w:hint="eastAsia" w:cs="Times New Roman"/>
          <w:sz w:val="24"/>
          <w:szCs w:val="24"/>
          <w:lang w:eastAsia="zh-CN"/>
        </w:rPr>
        <w:t>——</w:t>
      </w:r>
      <w:r>
        <w:rPr>
          <w:rFonts w:ascii="Times New Roman" w:hAnsi="Times New Roman" w:eastAsia="宋体" w:cs="Times New Roman"/>
          <w:sz w:val="24"/>
          <w:szCs w:val="24"/>
        </w:rPr>
        <w:t>它证明了</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可以在不丧失其文化内涵的前提下进行形式化处理。在此基础上，已有研究开始尝试用ABM模拟村民在农田水利、村庄道路等公共品供给中的合作行为，初步模拟结果表明，在强关系社会中，关键行动者（如村组长、家族长老）的示范效应可能比正式制度更能有效促进合作。据笔者所知，华中农业大学乡村振兴研究院、中国农业大学人文与发展学院等机构已有团队正在开展此类研究，相关成果正在陆续发表。</w:t>
      </w:r>
    </w:p>
    <w:p w14:paraId="410D7A90">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城市社区治理领域，业主委员会的集体行动困境是另一个值得关注的研究场景。商品房小区的业主异质性高，邻里关系疏离，如何促成集体行动以维护公共权益（如物业服务质量监督、维修基金使用决策）是一个现实难题。已有案例研究表明，线上社群（如业主微信群）的兴起改变了信息传播和社会动员的格局，但这一现象尚未被系统纳入ABM建模。初步研究发现，</w:t>
      </w:r>
      <w:r>
        <w:rPr>
          <w:rFonts w:hint="eastAsia" w:cs="Times New Roman"/>
          <w:sz w:val="24"/>
          <w:szCs w:val="24"/>
          <w:lang w:eastAsia="zh-CN"/>
        </w:rPr>
        <w:t>“</w:t>
      </w:r>
      <w:r>
        <w:rPr>
          <w:rFonts w:ascii="Times New Roman" w:hAnsi="Times New Roman" w:eastAsia="宋体" w:cs="Times New Roman"/>
          <w:sz w:val="24"/>
          <w:szCs w:val="24"/>
        </w:rPr>
        <w:t>弱关系</w:t>
      </w:r>
      <w:r>
        <w:rPr>
          <w:rFonts w:hint="eastAsia" w:cs="Times New Roman"/>
          <w:sz w:val="24"/>
          <w:szCs w:val="24"/>
          <w:lang w:eastAsia="zh-CN"/>
        </w:rPr>
        <w:t>”</w:t>
      </w:r>
      <w:r>
        <w:rPr>
          <w:rFonts w:ascii="Times New Roman" w:hAnsi="Times New Roman" w:eastAsia="宋体" w:cs="Times New Roman"/>
          <w:sz w:val="24"/>
          <w:szCs w:val="24"/>
        </w:rPr>
        <w:t>的信息传播功能与“强关系”的信任动员功能在集体行动的不同阶段发挥不同作用。未来研究可探索将这些机制纳入ABM建模，模拟线上互动如何转化为线下集体行动，考察群主或意见领袖的动员策略、信息的情绪倾向等因素对参与率的影响。</w:t>
      </w:r>
    </w:p>
    <w:p w14:paraId="7D5173BF">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互联网平台治理领域，豆瓣、知乎、B站等中文社区形成了独特的规范演化机制。这些平台的社区规范既非完全自上而下制定，也非完全自发生成，而是在用户、平台方、意见领袖的持续互动中动态演化。对知乎社区的质性研究为理解这一过程提供了重要基础。有学者从自组织视角切入，通过深度访谈、案例研究等方法，探讨了知乎社区规则的自组织形成机制。研究发现，社区规则的形成来自内部和外部两个来源</w:t>
      </w:r>
      <w:r>
        <w:rPr>
          <w:rFonts w:hint="eastAsia" w:cs="Times New Roman"/>
          <w:sz w:val="24"/>
          <w:szCs w:val="24"/>
          <w:lang w:eastAsia="zh-CN"/>
        </w:rPr>
        <w:t>——</w:t>
      </w:r>
      <w:r>
        <w:rPr>
          <w:rFonts w:ascii="Times New Roman" w:hAnsi="Times New Roman" w:eastAsia="宋体" w:cs="Times New Roman"/>
          <w:sz w:val="24"/>
          <w:szCs w:val="24"/>
        </w:rPr>
        <w:t>现实世界的法律法规与社会公序良俗通过强制或非强制形式进入知乎社区后，成为社区内的</w:t>
      </w:r>
      <w:r>
        <w:rPr>
          <w:rFonts w:hint="eastAsia" w:cs="Times New Roman"/>
          <w:sz w:val="24"/>
          <w:szCs w:val="24"/>
          <w:lang w:eastAsia="zh-CN"/>
        </w:rPr>
        <w:t>“</w:t>
      </w:r>
      <w:r>
        <w:rPr>
          <w:rFonts w:ascii="Times New Roman" w:hAnsi="Times New Roman" w:eastAsia="宋体" w:cs="Times New Roman"/>
          <w:sz w:val="24"/>
          <w:szCs w:val="24"/>
        </w:rPr>
        <w:t>管理规定</w:t>
      </w:r>
      <w:r>
        <w:rPr>
          <w:rFonts w:hint="eastAsia" w:cs="Times New Roman"/>
          <w:sz w:val="24"/>
          <w:szCs w:val="24"/>
          <w:lang w:eastAsia="zh-CN"/>
        </w:rPr>
        <w:t>”</w:t>
      </w:r>
      <w:r>
        <w:rPr>
          <w:rFonts w:ascii="Times New Roman" w:hAnsi="Times New Roman" w:eastAsia="宋体" w:cs="Times New Roman"/>
          <w:sz w:val="24"/>
          <w:szCs w:val="24"/>
        </w:rPr>
        <w:t>和用户的</w:t>
      </w:r>
      <w:r>
        <w:rPr>
          <w:rFonts w:hint="eastAsia" w:cs="Times New Roman"/>
          <w:sz w:val="24"/>
          <w:szCs w:val="24"/>
          <w:lang w:eastAsia="zh-CN"/>
        </w:rPr>
        <w:t>“</w:t>
      </w:r>
      <w:r>
        <w:rPr>
          <w:rFonts w:ascii="Times New Roman" w:hAnsi="Times New Roman" w:eastAsia="宋体" w:cs="Times New Roman"/>
          <w:sz w:val="24"/>
          <w:szCs w:val="24"/>
        </w:rPr>
        <w:t>使用协议</w:t>
      </w:r>
      <w:r>
        <w:rPr>
          <w:rFonts w:hint="eastAsia" w:cs="Times New Roman"/>
          <w:sz w:val="24"/>
          <w:szCs w:val="24"/>
          <w:lang w:eastAsia="zh-CN"/>
        </w:rPr>
        <w:t>”</w:t>
      </w:r>
      <w:r>
        <w:rPr>
          <w:rFonts w:ascii="Times New Roman" w:hAnsi="Times New Roman" w:eastAsia="宋体" w:cs="Times New Roman"/>
          <w:sz w:val="24"/>
          <w:szCs w:val="24"/>
        </w:rPr>
        <w:t>；用户在自组织的驱动下进行自我规范、自我否定、自我完善，意见领袖在这一过程中扮演着重要的</w:t>
      </w:r>
      <w:r>
        <w:rPr>
          <w:rFonts w:hint="eastAsia" w:cs="Times New Roman"/>
          <w:sz w:val="24"/>
          <w:szCs w:val="24"/>
          <w:lang w:eastAsia="zh-CN"/>
        </w:rPr>
        <w:t>“</w:t>
      </w:r>
      <w:r>
        <w:rPr>
          <w:rFonts w:ascii="Times New Roman" w:hAnsi="Times New Roman" w:eastAsia="宋体" w:cs="Times New Roman"/>
          <w:sz w:val="24"/>
          <w:szCs w:val="24"/>
        </w:rPr>
        <w:t>翻译</w:t>
      </w:r>
      <w:r>
        <w:rPr>
          <w:rFonts w:hint="eastAsia" w:cs="Times New Roman"/>
          <w:sz w:val="24"/>
          <w:szCs w:val="24"/>
          <w:lang w:eastAsia="zh-CN"/>
        </w:rPr>
        <w:t>”</w:t>
      </w:r>
      <w:r>
        <w:rPr>
          <w:rFonts w:ascii="Times New Roman" w:hAnsi="Times New Roman" w:eastAsia="宋体" w:cs="Times New Roman"/>
          <w:sz w:val="24"/>
          <w:szCs w:val="24"/>
        </w:rPr>
        <w:t>和</w:t>
      </w:r>
      <w:r>
        <w:rPr>
          <w:rFonts w:hint="eastAsia" w:cs="Times New Roman"/>
          <w:sz w:val="24"/>
          <w:szCs w:val="24"/>
          <w:lang w:eastAsia="zh-CN"/>
        </w:rPr>
        <w:t>“</w:t>
      </w:r>
      <w:r>
        <w:rPr>
          <w:rFonts w:ascii="Times New Roman" w:hAnsi="Times New Roman" w:eastAsia="宋体" w:cs="Times New Roman"/>
          <w:sz w:val="24"/>
          <w:szCs w:val="24"/>
        </w:rPr>
        <w:t>调解</w:t>
      </w:r>
      <w:r>
        <w:rPr>
          <w:rFonts w:hint="eastAsia" w:cs="Times New Roman"/>
          <w:sz w:val="24"/>
          <w:szCs w:val="24"/>
          <w:lang w:eastAsia="zh-CN"/>
        </w:rPr>
        <w:t>”</w:t>
      </w:r>
      <w:r>
        <w:rPr>
          <w:rFonts w:ascii="Times New Roman" w:hAnsi="Times New Roman" w:eastAsia="宋体" w:cs="Times New Roman"/>
          <w:sz w:val="24"/>
          <w:szCs w:val="24"/>
        </w:rPr>
        <w:t>角色。这一研究为理解平台规则与用户自生规范的互动提供了扎实的质性基础，也为后续构建生成式ABM模型模拟社区讨论如何导向规范共识的形成提供了理论依据。</w:t>
      </w:r>
    </w:p>
    <w:p w14:paraId="09A74D19">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与此同时，社区环境对用户行为的影响也得到了实证研究的关注。一项针对知乎答题者的质性研究发现，社区环境、平台载体和管理制度等因素显著影响用户的知识分享行为</w:t>
      </w:r>
      <w:r>
        <w:rPr>
          <w:rFonts w:hint="eastAsia" w:cs="Times New Roman"/>
          <w:sz w:val="24"/>
          <w:szCs w:val="24"/>
          <w:lang w:eastAsia="zh-CN"/>
        </w:rPr>
        <w:t>——</w:t>
      </w:r>
      <w:r>
        <w:rPr>
          <w:rFonts w:ascii="Times New Roman" w:hAnsi="Times New Roman" w:eastAsia="宋体" w:cs="Times New Roman"/>
          <w:sz w:val="24"/>
          <w:szCs w:val="24"/>
        </w:rPr>
        <w:t>当社区规范鼓励分享时，用户更愿意贡献知识；反之，当社区规范模糊或执行不当时，知识隐藏行为增加。这一发现揭示了社区规范与个体行为之间的双向互动关系：规范塑造行为，行为的汇聚又反过来重构规范。</w:t>
      </w:r>
    </w:p>
    <w:p w14:paraId="5E46199B">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值得注意的是，将</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等本土概念形式化面临显著挑战。这些概念内涵丰富、情境依赖性强，难以简化为几个参数。早期尝试往往陷入</w:t>
      </w:r>
      <w:r>
        <w:rPr>
          <w:rFonts w:hint="eastAsia" w:cs="Times New Roman"/>
          <w:sz w:val="24"/>
          <w:szCs w:val="24"/>
          <w:lang w:eastAsia="zh-CN"/>
        </w:rPr>
        <w:t>“</w:t>
      </w:r>
      <w:r>
        <w:rPr>
          <w:rFonts w:ascii="Times New Roman" w:hAnsi="Times New Roman" w:eastAsia="宋体" w:cs="Times New Roman"/>
          <w:sz w:val="24"/>
          <w:szCs w:val="24"/>
        </w:rPr>
        <w:t>为建模而建模</w:t>
      </w:r>
      <w:r>
        <w:rPr>
          <w:rFonts w:hint="eastAsia" w:cs="Times New Roman"/>
          <w:sz w:val="24"/>
          <w:szCs w:val="24"/>
          <w:lang w:eastAsia="zh-CN"/>
        </w:rPr>
        <w:t>”</w:t>
      </w:r>
      <w:r>
        <w:rPr>
          <w:rFonts w:ascii="Times New Roman" w:hAnsi="Times New Roman" w:eastAsia="宋体" w:cs="Times New Roman"/>
          <w:sz w:val="24"/>
          <w:szCs w:val="24"/>
        </w:rPr>
        <w:t>的误区，模型复杂却解释力有限。例如，有研究试图用</w:t>
      </w:r>
      <w:r>
        <w:rPr>
          <w:rFonts w:hint="eastAsia" w:cs="Times New Roman"/>
          <w:sz w:val="24"/>
          <w:szCs w:val="24"/>
          <w:lang w:eastAsia="zh-CN"/>
        </w:rPr>
        <w:t>“</w:t>
      </w:r>
      <w:r>
        <w:rPr>
          <w:rFonts w:ascii="Times New Roman" w:hAnsi="Times New Roman" w:eastAsia="宋体" w:cs="Times New Roman"/>
          <w:sz w:val="24"/>
          <w:szCs w:val="24"/>
        </w:rPr>
        <w:t>关系强度</w:t>
      </w:r>
      <w:r>
        <w:rPr>
          <w:rFonts w:hint="eastAsia" w:cs="Times New Roman"/>
          <w:sz w:val="24"/>
          <w:szCs w:val="24"/>
          <w:lang w:eastAsia="zh-CN"/>
        </w:rPr>
        <w:t>”</w:t>
      </w:r>
      <w:r>
        <w:rPr>
          <w:rFonts w:ascii="Times New Roman" w:hAnsi="Times New Roman" w:eastAsia="宋体" w:cs="Times New Roman"/>
          <w:sz w:val="24"/>
          <w:szCs w:val="24"/>
        </w:rPr>
        <w:t>单一参数表征复杂的人际互动，结果导致模型输出的结论与常识相悖</w:t>
      </w:r>
      <w:r>
        <w:rPr>
          <w:rFonts w:hint="eastAsia" w:cs="Times New Roman"/>
          <w:sz w:val="24"/>
          <w:szCs w:val="24"/>
          <w:lang w:eastAsia="zh-CN"/>
        </w:rPr>
        <w:t>——</w:t>
      </w:r>
      <w:r>
        <w:rPr>
          <w:rFonts w:ascii="Times New Roman" w:hAnsi="Times New Roman" w:eastAsia="宋体" w:cs="Times New Roman"/>
          <w:sz w:val="24"/>
          <w:szCs w:val="24"/>
        </w:rPr>
        <w:t>将“关系”简化为单一维度，忽略了</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中的义务、情感、面子等多元面向。未来研究需要更谨慎地处理概念操作化问题，在模型简洁性与文化真实性之间寻求平衡。</w:t>
      </w:r>
    </w:p>
    <w:p w14:paraId="30F632B7">
      <w:pPr>
        <w:pStyle w:val="11"/>
        <w:keepLines w:val="0"/>
        <w:kinsoku/>
        <w:wordWrap/>
        <w:overflowPunct/>
        <w:topLinePunct w:val="0"/>
        <w:autoSpaceDE/>
        <w:autoSpaceDN/>
        <w:bidi w:val="0"/>
        <w:snapToGrid/>
        <w:spacing w:line="360" w:lineRule="auto"/>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国情境的质性研究为ABM建模提供了丰富的理论假设，但如何将这些假设转化为可运行的模型，仍需要通过具体案例加以展示。下一节将综合国际前沿的ABM框架，构建一个具有代表性的农村灌溉系统合作行为案例。</w:t>
      </w:r>
      <w:bookmarkStart w:id="51" w:name="_Toc11332"/>
      <w:bookmarkStart w:id="52" w:name="_Toc16995"/>
      <w:bookmarkStart w:id="53" w:name="_Toc4254"/>
      <w:bookmarkStart w:id="54" w:name="_Toc30816"/>
    </w:p>
    <w:p w14:paraId="6BED60C5">
      <w:pPr>
        <w:pStyle w:val="11"/>
        <w:keepLines w:val="0"/>
        <w:kinsoku/>
        <w:wordWrap/>
        <w:overflowPunct/>
        <w:topLinePunct w:val="0"/>
        <w:autoSpaceDE/>
        <w:autoSpaceDN/>
        <w:bidi w:val="0"/>
        <w:snapToGrid/>
        <w:spacing w:line="360" w:lineRule="auto"/>
        <w:ind w:left="0" w:leftChars="0" w:firstLine="0" w:firstLineChars="0"/>
        <w:textAlignment w:val="auto"/>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3.5 典型应用案例：灌溉系统合作行为的ABM模拟</w:t>
      </w:r>
      <w:bookmarkEnd w:id="51"/>
      <w:bookmarkEnd w:id="52"/>
      <w:bookmarkEnd w:id="53"/>
      <w:bookmarkStart w:id="55" w:name="_Toc8964"/>
      <w:bookmarkStart w:id="56" w:name="_Toc21595"/>
    </w:p>
    <w:p w14:paraId="00561A9C">
      <w:pPr>
        <w:pStyle w:val="11"/>
        <w:keepLines w:val="0"/>
        <w:kinsoku/>
        <w:wordWrap/>
        <w:overflowPunct/>
        <w:topLinePunct w:val="0"/>
        <w:autoSpaceDE/>
        <w:autoSpaceDN/>
        <w:bidi w:val="0"/>
        <w:snapToGrid/>
        <w:spacing w:line="360" w:lineRule="auto"/>
        <w:ind w:left="0" w:leftChars="0" w:firstLine="480" w:firstLineChars="200"/>
        <w:textAlignment w:val="auto"/>
        <w:rPr>
          <w:rFonts w:hint="eastAsia" w:ascii="宋体" w:hAnsi="宋体" w:eastAsia="宋体" w:cs="宋体"/>
          <w:b/>
          <w:bCs/>
          <w:kern w:val="2"/>
          <w:sz w:val="28"/>
          <w:szCs w:val="28"/>
          <w:lang w:eastAsia="zh-CN" w:bidi="ar-SA"/>
        </w:rPr>
      </w:pPr>
      <w:r>
        <w:rPr>
          <w:rFonts w:hint="eastAsia" w:ascii="Times New Roman" w:hAnsi="Times New Roman" w:eastAsia="宋体" w:cs="Times New Roman"/>
          <w:kern w:val="2"/>
          <w:sz w:val="24"/>
          <w:szCs w:val="24"/>
          <w:lang w:eastAsia="zh-CN"/>
        </w:rPr>
        <w:t>为展示ABM在分析社会规范与集体行动问题中的具体应用，本节综合四项真实研究成果，构建一个具有代表性的农村灌溉系统合作行为ABM案例框架。该框架整合了Odongo等人的行为决策与主观规范建模、Cai与Xiong的社会网络结构分析、Reinhard等人的门槛公共品机制以及Mu等人的信息干预策略，形成一个完整的模型框架，用以揭示灌溉系统集体行动的形成条件与演化规律。</w:t>
      </w:r>
      <w:r>
        <w:rPr>
          <w:rFonts w:hint="eastAsia" w:ascii="宋体" w:hAnsi="宋体" w:eastAsia="宋体" w:cs="宋体"/>
          <w:b/>
          <w:bCs/>
          <w:kern w:val="2"/>
          <w:sz w:val="28"/>
          <w:szCs w:val="28"/>
          <w:lang w:eastAsia="zh-CN" w:bidi="ar-SA"/>
        </w:rPr>
        <w:t>3.5.1 案例背景与问题</w:t>
      </w:r>
      <w:bookmarkEnd w:id="55"/>
      <w:bookmarkEnd w:id="56"/>
    </w:p>
    <w:p w14:paraId="1224774D">
      <w:pPr>
        <w:pStyle w:val="11"/>
        <w:keepLines w:val="0"/>
        <w:kinsoku/>
        <w:wordWrap/>
        <w:overflowPunct/>
        <w:topLinePunct w:val="0"/>
        <w:autoSpaceDE/>
        <w:autoSpaceDN/>
        <w:bidi w:val="0"/>
        <w:snapToGrid/>
        <w:spacing w:line="360" w:lineRule="auto"/>
        <w:ind w:left="0" w:leftChars="0" w:firstLine="480" w:firstLineChars="200"/>
        <w:textAlignment w:val="auto"/>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研究场景：以水资源稀缺地区的农村灌溉系统为背景，农户共享同一灌溉渠道，需要共同维护渠道清淤、水量分配等公共事务。灌溉系统的有效运行依赖于农户的集体行动——若多数农户选择搭便车，渠道将淤塞失效，全体收益受损。</w:t>
      </w:r>
    </w:p>
    <w:p w14:paraId="747191B5">
      <w:pPr>
        <w:pStyle w:val="11"/>
        <w:keepLines w:val="0"/>
        <w:kinsoku/>
        <w:wordWrap/>
        <w:overflowPunct/>
        <w:topLinePunct w:val="0"/>
        <w:autoSpaceDE/>
        <w:autoSpaceDN/>
        <w:bidi w:val="0"/>
        <w:snapToGrid/>
        <w:spacing w:line="360" w:lineRule="auto"/>
        <w:ind w:left="0" w:leftChars="0" w:firstLine="480" w:firstLineChars="200"/>
        <w:textAlignment w:val="auto"/>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核心问题：在缺乏强制力的情况下，农户如何通过社会互动形成合作规范？哪些因素（社会网络结构、主观规范、信息传播、政策干预）能够促进或抑制合作行为的涌现？</w:t>
      </w:r>
    </w:p>
    <w:p w14:paraId="4744D41D">
      <w:pPr>
        <w:pStyle w:val="11"/>
        <w:keepLines w:val="0"/>
        <w:kinsoku/>
        <w:wordWrap/>
        <w:overflowPunct/>
        <w:topLinePunct w:val="0"/>
        <w:autoSpaceDE/>
        <w:autoSpaceDN/>
        <w:bidi w:val="0"/>
        <w:snapToGrid/>
        <w:spacing w:line="360" w:lineRule="auto"/>
        <w:ind w:left="0" w:leftChars="0" w:firstLine="480" w:firstLineChars="200"/>
        <w:textAlignment w:val="auto"/>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理论定位：该问题可抽象为公共池塘资源治理中的集体行动困境，涉及奥斯特罗姆提出的自组织治理原则，同时融合了社会心理学中的主观规范理论和创新扩散理论。</w:t>
      </w:r>
    </w:p>
    <w:p w14:paraId="436206F7">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bookmarkStart w:id="57" w:name="_Toc32114"/>
      <w:bookmarkStart w:id="58" w:name="_Toc8253"/>
      <w:r>
        <w:rPr>
          <w:rFonts w:hint="eastAsia" w:ascii="宋体" w:hAnsi="宋体" w:eastAsia="宋体" w:cs="宋体"/>
          <w:b/>
          <w:bCs/>
          <w:kern w:val="2"/>
          <w:sz w:val="28"/>
          <w:szCs w:val="28"/>
          <w:lang w:eastAsia="zh-CN" w:bidi="ar-SA"/>
        </w:rPr>
        <w:t>3.5.2 模型构建与数据来源</w:t>
      </w:r>
      <w:bookmarkEnd w:id="57"/>
      <w:bookmarkEnd w:id="58"/>
    </w:p>
    <w:p w14:paraId="4AF5B679">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3"/>
        <w:rPr>
          <w:rFonts w:hint="eastAsia" w:ascii="宋体" w:hAnsi="宋体" w:eastAsia="宋体" w:cs="宋体"/>
          <w:b/>
          <w:bCs/>
          <w:kern w:val="2"/>
          <w:sz w:val="28"/>
          <w:szCs w:val="28"/>
          <w:lang w:eastAsia="zh-CN" w:bidi="ar-SA"/>
        </w:rPr>
      </w:pPr>
      <w:bookmarkStart w:id="59" w:name="_Toc19308"/>
      <w:bookmarkStart w:id="60" w:name="_Toc7673"/>
      <w:r>
        <w:rPr>
          <w:rFonts w:hint="eastAsia" w:ascii="宋体" w:hAnsi="宋体" w:eastAsia="宋体" w:cs="宋体"/>
          <w:b/>
          <w:bCs/>
          <w:kern w:val="2"/>
          <w:sz w:val="28"/>
          <w:szCs w:val="28"/>
          <w:lang w:eastAsia="zh-CN" w:bidi="ar-SA"/>
        </w:rPr>
        <w:t>（1）智能体设定与行为规则</w:t>
      </w:r>
      <w:bookmarkEnd w:id="59"/>
      <w:bookmarkEnd w:id="60"/>
    </w:p>
    <w:p w14:paraId="33254644">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模型以Odongo等人开发的CONSERVAT框架为基础，将农户设定为具有异质性的智能体，其行为模式分为四类：重复型（沿用上一期决策）、优化型（根据预期收益最大化决策）、询问型（主动向邻居征求意见）、模仿型（倾向于模仿邻居或多数人的行为）。每类农户所占比例根据实地调查数据校准。</w:t>
      </w:r>
    </w:p>
    <w:p w14:paraId="0AF3C931">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农户决策的核心规则可表示为需求满足水平（LNS）和不确定性（Unc）的函数：</w:t>
      </w:r>
    </w:p>
    <w:p w14:paraId="35765645">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val="en-US" w:eastAsia="zh-CN"/>
        </w:rPr>
        <w:t xml:space="preserve">          </w:t>
      </w:r>
      <w:r>
        <w:rPr>
          <w:rFonts w:hint="eastAsia" w:ascii="Times New Roman" w:hAnsi="Times New Roman" w:eastAsia="宋体" w:cs="Times New Roman"/>
          <w:kern w:val="2"/>
          <w:sz w:val="24"/>
          <w:szCs w:val="24"/>
          <w:lang w:eastAsia="zh-CN"/>
        </w:rPr>
        <w:drawing>
          <wp:inline distT="0" distB="0" distL="114300" distR="114300">
            <wp:extent cx="3065780" cy="711200"/>
            <wp:effectExtent l="0" t="0" r="1270" b="3175"/>
            <wp:docPr id="2" name="图片 2" descr="屏幕截图 2026-03-19 15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3-19 153319"/>
                    <pic:cNvPicPr>
                      <a:picLocks noChangeAspect="1"/>
                    </pic:cNvPicPr>
                  </pic:nvPicPr>
                  <pic:blipFill>
                    <a:blip r:embed="rId5"/>
                    <a:stretch>
                      <a:fillRect/>
                    </a:stretch>
                  </pic:blipFill>
                  <pic:spPr>
                    <a:xfrm>
                      <a:off x="0" y="0"/>
                      <a:ext cx="3065780" cy="711200"/>
                    </a:xfrm>
                    <a:prstGeom prst="rect">
                      <a:avLst/>
                    </a:prstGeom>
                  </pic:spPr>
                </pic:pic>
              </a:graphicData>
            </a:graphic>
          </wp:inline>
        </w:drawing>
      </w:r>
    </w:p>
    <w:p w14:paraId="08AE8F4C">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其中，</w:t>
      </w:r>
      <m:oMath>
        <m:r>
          <m:rPr/>
          <w:rPr>
            <w:rFonts w:hint="default" w:ascii="Cambria Math" w:hAnsi="Cambria Math" w:eastAsia="宋体"/>
            <w:sz w:val="24"/>
          </w:rPr>
          <m:t>βi</m:t>
        </m:r>
      </m:oMath>
      <w:r>
        <w:rPr>
          <w:rFonts w:hint="eastAsia" w:ascii="Times New Roman" w:hAnsi="Times New Roman" w:eastAsia="宋体" w:cs="Times New Roman"/>
          <w:kern w:val="2"/>
          <w:sz w:val="24"/>
          <w:szCs w:val="24"/>
          <w:lang w:eastAsia="zh-CN"/>
        </w:rPr>
        <w:t>反映农户对社会环境的敏感性（高β者更依赖个人判断，低β者更易受社会规范影响），</w:t>
      </w:r>
      <m:oMath>
        <m:r>
          <m:rPr/>
          <w:rPr>
            <w:rFonts w:hint="default" w:ascii="Cambria Math" w:hAnsi="Cambria Math" w:eastAsia="宋体" w:cs="Cambria Math"/>
            <w:sz w:val="24"/>
          </w:rPr>
          <m:t>Pi</m:t>
        </m:r>
      </m:oMath>
      <w:r>
        <w:rPr>
          <w:rFonts w:hint="eastAsia" w:ascii="Times New Roman" w:hAnsi="Times New Roman" w:eastAsia="宋体" w:cs="Times New Roman"/>
          <w:kern w:val="2"/>
          <w:sz w:val="24"/>
          <w:szCs w:val="24"/>
          <w:lang w:eastAsia="zh-CN"/>
        </w:rPr>
        <w:t>为个人偏好（根据近期土壤流失更新），</w:t>
      </w:r>
      <m:oMath>
        <m:r>
          <m:rPr/>
          <w:rPr>
            <w:rFonts w:hint="default" w:ascii="Cambria Math" w:hAnsi="Cambria Math" w:eastAsia="宋体"/>
            <w:sz w:val="24"/>
          </w:rPr>
          <m:t>δj</m:t>
        </m:r>
      </m:oMath>
      <w:r>
        <w:rPr>
          <w:rFonts w:hint="eastAsia" w:ascii="Times New Roman" w:hAnsi="Times New Roman" w:eastAsia="宋体" w:cs="Times New Roman"/>
          <w:kern w:val="2"/>
          <w:sz w:val="24"/>
          <w:szCs w:val="24"/>
          <w:lang w:eastAsia="zh-CN"/>
        </w:rPr>
        <w:t>为灌溉合作带来的收益提升因子，</w:t>
      </w:r>
      <m:oMath>
        <m:r>
          <m:rPr/>
          <w:rPr>
            <w:rFonts w:hint="default" w:ascii="Cambria Math" w:hAnsi="Cambria Math" w:eastAsia="宋体"/>
            <w:sz w:val="24"/>
          </w:rPr>
          <m:t>Xj</m:t>
        </m:r>
      </m:oMath>
      <w:r>
        <w:rPr>
          <w:rFonts w:hint="eastAsia" w:ascii="Times New Roman" w:hAnsi="Times New Roman" w:eastAsia="宋体" w:cs="Times New Roman"/>
          <w:kern w:val="2"/>
          <w:sz w:val="24"/>
          <w:szCs w:val="24"/>
          <w:lang w:eastAsia="zh-CN"/>
        </w:rPr>
        <w:t>为邻居中采纳合作的比例。当LNS低于阈值LNSmin且Unc低于阈值Unc max时，农户倾向于模仿或询问；否则采取重复或优化策略。</w:t>
      </w:r>
    </w:p>
    <w:p w14:paraId="08645A02">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3"/>
        <w:rPr>
          <w:rFonts w:hint="eastAsia" w:ascii="宋体" w:hAnsi="宋体" w:eastAsia="宋体" w:cs="宋体"/>
          <w:b/>
          <w:bCs/>
          <w:kern w:val="2"/>
          <w:sz w:val="28"/>
          <w:szCs w:val="28"/>
          <w:lang w:eastAsia="zh-CN" w:bidi="ar-SA"/>
        </w:rPr>
      </w:pPr>
      <w:bookmarkStart w:id="61" w:name="_Toc4899"/>
      <w:bookmarkStart w:id="62" w:name="_Toc19598"/>
      <w:r>
        <w:rPr>
          <w:rFonts w:hint="eastAsia" w:ascii="宋体" w:hAnsi="宋体" w:eastAsia="宋体" w:cs="宋体"/>
          <w:b/>
          <w:bCs/>
          <w:kern w:val="2"/>
          <w:sz w:val="28"/>
          <w:szCs w:val="28"/>
          <w:lang w:eastAsia="zh-CN" w:bidi="ar-SA"/>
        </w:rPr>
        <w:t>（2）社会网络结构</w:t>
      </w:r>
      <w:bookmarkEnd w:id="61"/>
      <w:bookmarkEnd w:id="62"/>
    </w:p>
    <w:p w14:paraId="1B618DB1">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借鉴Cai与Xiong的研究，模型引入三种网络结构：随机网络、小世界网络和无标度网络，以对比不同社会连接方式对合作演化的影响。农户之间的社会关系由地理邻近性和家族归属共同决定：同家族农户之间连接概率更高，形成“差序格局”特征。参考Odongo等人的做法，参与集体行动（如村民小组）的农户被赋予更多社会连接（最多6条），而未参与者连接较少（最多3条）。家族网络密度作为关键参数进行敏感性分析。</w:t>
      </w:r>
    </w:p>
    <w:p w14:paraId="0DB42F27">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3"/>
        <w:rPr>
          <w:rFonts w:hint="eastAsia" w:ascii="宋体" w:hAnsi="宋体" w:eastAsia="宋体" w:cs="宋体"/>
          <w:b/>
          <w:bCs/>
          <w:kern w:val="2"/>
          <w:sz w:val="28"/>
          <w:szCs w:val="28"/>
          <w:lang w:eastAsia="zh-CN" w:bidi="ar-SA"/>
        </w:rPr>
      </w:pPr>
      <w:bookmarkStart w:id="63" w:name="_Toc2749"/>
      <w:bookmarkStart w:id="64" w:name="_Toc9634"/>
      <w:r>
        <w:rPr>
          <w:rFonts w:hint="eastAsia" w:ascii="宋体" w:hAnsi="宋体" w:eastAsia="宋体" w:cs="宋体"/>
          <w:b/>
          <w:bCs/>
          <w:kern w:val="2"/>
          <w:sz w:val="28"/>
          <w:szCs w:val="28"/>
          <w:lang w:eastAsia="zh-CN" w:bidi="ar-SA"/>
        </w:rPr>
        <w:t>（3）门槛公共品机制</w:t>
      </w:r>
      <w:bookmarkEnd w:id="63"/>
      <w:bookmarkEnd w:id="64"/>
    </w:p>
    <w:p w14:paraId="110BD006">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参照Reinhard等人的门槛公共品框架，设定灌溉设施投资需达到阈值合作率T（例如</w:t>
      </w:r>
      <w:r>
        <w:rPr>
          <w:rFonts w:hint="eastAsia" w:ascii="Times New Roman" w:hAnsi="Times New Roman" w:eastAsia="宋体" w:cs="Times New Roman"/>
          <w:kern w:val="2"/>
          <w:sz w:val="24"/>
          <w:szCs w:val="24"/>
          <w:lang w:val="en-US" w:eastAsia="zh-CN"/>
        </w:rPr>
        <w:t>7</w:t>
      </w:r>
      <w:r>
        <w:rPr>
          <w:rFonts w:hint="eastAsia" w:ascii="Times New Roman" w:hAnsi="Times New Roman" w:eastAsia="宋体" w:cs="Times New Roman"/>
          <w:kern w:val="2"/>
          <w:sz w:val="24"/>
          <w:szCs w:val="24"/>
          <w:lang w:eastAsia="zh-CN"/>
        </w:rPr>
        <w:t>0%）方能产生集体收益。若合作率低于阈值，所有贡献者损失投资成本；若达到阈值，则全体农户获得灌溉收益。这种机制放大了合作的战略不确定性，更贴近现实中的集体行动困境。</w:t>
      </w:r>
    </w:p>
    <w:p w14:paraId="3181D105">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3"/>
        <w:rPr>
          <w:rFonts w:hint="eastAsia" w:ascii="宋体" w:hAnsi="宋体" w:eastAsia="宋体" w:cs="宋体"/>
          <w:b/>
          <w:bCs/>
          <w:kern w:val="2"/>
          <w:sz w:val="28"/>
          <w:szCs w:val="28"/>
          <w:lang w:eastAsia="zh-CN" w:bidi="ar-SA"/>
        </w:rPr>
      </w:pPr>
      <w:bookmarkStart w:id="65" w:name="_Toc19613"/>
      <w:bookmarkStart w:id="66" w:name="_Toc5979"/>
      <w:r>
        <w:rPr>
          <w:rFonts w:hint="eastAsia" w:ascii="宋体" w:hAnsi="宋体" w:eastAsia="宋体" w:cs="宋体"/>
          <w:b/>
          <w:bCs/>
          <w:kern w:val="2"/>
          <w:sz w:val="28"/>
          <w:szCs w:val="28"/>
          <w:lang w:eastAsia="zh-CN" w:bidi="ar-SA"/>
        </w:rPr>
        <w:t>（4）信息干预策略</w:t>
      </w:r>
      <w:bookmarkEnd w:id="65"/>
      <w:bookmarkEnd w:id="66"/>
    </w:p>
    <w:p w14:paraId="4B8E57C7">
      <w:pPr>
        <w:keepLines w:val="0"/>
        <w:widowControl w:val="0"/>
        <w:kinsoku/>
        <w:wordWrap/>
        <w:overflowPunct/>
        <w:topLinePunct w:val="0"/>
        <w:autoSpaceDE/>
        <w:autoSpaceDN/>
        <w:bidi w:val="0"/>
        <w:adjustRightInd w:val="0"/>
        <w:snapToGrid/>
        <w:spacing w:line="360" w:lineRule="auto"/>
        <w:ind w:leftChars="0" w:firstLine="480" w:firstLineChars="200"/>
        <w:jc w:val="both"/>
        <w:textAlignment w:val="auto"/>
        <w:outlineLvl w:val="9"/>
        <w:rPr>
          <w:rFonts w:hint="eastAsia" w:ascii="Times New Roman" w:hAnsi="Times New Roman" w:eastAsia="宋体" w:cs="Times New Roman"/>
          <w:kern w:val="2"/>
          <w:sz w:val="24"/>
          <w:szCs w:val="24"/>
          <w:lang w:eastAsia="zh-CN"/>
        </w:rPr>
      </w:pPr>
      <w:r>
        <w:rPr>
          <w:rFonts w:hint="eastAsia" w:ascii="Times New Roman" w:hAnsi="Times New Roman" w:eastAsia="宋体" w:cs="Times New Roman"/>
          <w:kern w:val="2"/>
          <w:sz w:val="24"/>
          <w:szCs w:val="24"/>
          <w:lang w:eastAsia="zh-CN"/>
        </w:rPr>
        <w:t>依据Mu等人的研究，</w:t>
      </w:r>
      <w:r>
        <w:rPr>
          <w:rFonts w:hint="eastAsia" w:ascii="Times New Roman" w:hAnsi="Times New Roman" w:eastAsia="宋体" w:cs="Times New Roman"/>
          <w:kern w:val="2"/>
          <w:sz w:val="24"/>
          <w:szCs w:val="24"/>
          <w:lang w:val="en-US" w:eastAsia="zh-CN"/>
        </w:rPr>
        <w:t>模</w:t>
      </w:r>
      <w:r>
        <w:rPr>
          <w:rFonts w:hint="eastAsia" w:ascii="Times New Roman" w:hAnsi="Times New Roman" w:eastAsia="宋体" w:cs="Times New Roman"/>
          <w:kern w:val="2"/>
          <w:sz w:val="24"/>
          <w:szCs w:val="24"/>
          <w:lang w:eastAsia="zh-CN"/>
        </w:rPr>
        <w:t>型引入信息传播机制，考察不同时间点（早期/晚期）、不同信源（社区领袖/跨桥联结者/普通邻居）、不同效价（正面/负面）的信息对合作演化的影响。意见领袖（如村干部、家族长）的示范效应可通过提高其在网络中的中心度或赋予其更高的影响力权重来建模。</w:t>
      </w:r>
      <w:bookmarkStart w:id="67" w:name="_Toc3619"/>
      <w:bookmarkStart w:id="68" w:name="_Toc2308"/>
    </w:p>
    <w:p w14:paraId="0C7B7DA5">
      <w:pPr>
        <w:keepLines w:val="0"/>
        <w:widowControl w:val="0"/>
        <w:numPr>
          <w:ilvl w:val="0"/>
          <w:numId w:val="1"/>
        </w:numPr>
        <w:kinsoku/>
        <w:wordWrap/>
        <w:overflowPunct/>
        <w:topLinePunct w:val="0"/>
        <w:autoSpaceDE/>
        <w:autoSpaceDN/>
        <w:bidi w:val="0"/>
        <w:adjustRightInd w:val="0"/>
        <w:snapToGrid/>
        <w:spacing w:line="360" w:lineRule="auto"/>
        <w:jc w:val="both"/>
        <w:textAlignment w:val="auto"/>
        <w:outlineLvl w:val="9"/>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数据来源与参数校准</w:t>
      </w:r>
      <w:bookmarkEnd w:id="67"/>
      <w:bookmarkEnd w:id="68"/>
      <w:bookmarkStart w:id="69" w:name="_Toc28819"/>
      <w:bookmarkStart w:id="70" w:name="_Toc26234"/>
    </w:p>
    <w:p w14:paraId="6D3459EE">
      <w:pPr>
        <w:keepLines w:val="0"/>
        <w:widowControl w:val="0"/>
        <w:numPr>
          <w:numId w:val="0"/>
        </w:numPr>
        <w:kinsoku/>
        <w:wordWrap/>
        <w:overflowPunct/>
        <w:topLinePunct w:val="0"/>
        <w:autoSpaceDE/>
        <w:autoSpaceDN/>
        <w:bidi w:val="0"/>
        <w:adjustRightInd w:val="0"/>
        <w:snapToGrid/>
        <w:spacing w:line="360" w:lineRule="auto"/>
        <w:ind w:firstLine="480" w:firstLineChars="200"/>
        <w:jc w:val="both"/>
        <w:textAlignment w:val="auto"/>
        <w:outlineLvl w:val="9"/>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模型参数来源包括：</w:t>
      </w:r>
    </w:p>
    <w:p w14:paraId="537EDBA2">
      <w:pPr>
        <w:keepLines w:val="0"/>
        <w:widowControl w:val="0"/>
        <w:numPr>
          <w:numId w:val="0"/>
        </w:numPr>
        <w:kinsoku/>
        <w:wordWrap/>
        <w:overflowPunct/>
        <w:topLinePunct w:val="0"/>
        <w:autoSpaceDE/>
        <w:autoSpaceDN/>
        <w:bidi w:val="0"/>
        <w:adjustRightInd w:val="0"/>
        <w:snapToGrid/>
        <w:spacing w:line="360" w:lineRule="auto"/>
        <w:ind w:firstLine="480" w:firstLineChars="200"/>
        <w:jc w:val="both"/>
        <w:textAlignment w:val="auto"/>
        <w:outlineLvl w:val="9"/>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实地调查数据：基于农户问卷获取初始合作意愿、社会网络连接、主观规范敏感性等分布（如Odongo等人基于307份问卷的参数化方法）。</w:t>
      </w:r>
    </w:p>
    <w:p w14:paraId="2446A293">
      <w:pPr>
        <w:keepLines w:val="0"/>
        <w:widowControl w:val="0"/>
        <w:numPr>
          <w:numId w:val="0"/>
        </w:numPr>
        <w:kinsoku/>
        <w:wordWrap/>
        <w:overflowPunct/>
        <w:topLinePunct w:val="0"/>
        <w:autoSpaceDE/>
        <w:autoSpaceDN/>
        <w:bidi w:val="0"/>
        <w:adjustRightInd w:val="0"/>
        <w:snapToGrid/>
        <w:spacing w:line="360" w:lineRule="auto"/>
        <w:ind w:firstLine="480" w:firstLineChars="200"/>
        <w:jc w:val="both"/>
        <w:textAlignment w:val="auto"/>
        <w:outlineLvl w:val="9"/>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文献校准：参考已有研究设定行为阈值、学习率等参数。</w:t>
      </w:r>
    </w:p>
    <w:p w14:paraId="0397E05C">
      <w:pPr>
        <w:keepLines w:val="0"/>
        <w:widowControl w:val="0"/>
        <w:numPr>
          <w:numId w:val="0"/>
        </w:numPr>
        <w:kinsoku/>
        <w:wordWrap/>
        <w:overflowPunct/>
        <w:topLinePunct w:val="0"/>
        <w:autoSpaceDE/>
        <w:autoSpaceDN/>
        <w:bidi w:val="0"/>
        <w:adjustRightInd w:val="0"/>
        <w:snapToGrid/>
        <w:spacing w:line="360" w:lineRule="auto"/>
        <w:ind w:firstLine="480" w:firstLineChars="200"/>
        <w:jc w:val="both"/>
        <w:textAlignment w:val="auto"/>
        <w:outlineLvl w:val="9"/>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环境数据：利用数字高程模型（DEM）和GIS渠道网络图，模拟不同地块的灌溉可达性，作为空间异质性的依据。</w:t>
      </w:r>
    </w:p>
    <w:p w14:paraId="389D1D6C">
      <w:pPr>
        <w:keepLines w:val="0"/>
        <w:widowControl w:val="0"/>
        <w:numPr>
          <w:numId w:val="0"/>
        </w:numPr>
        <w:kinsoku/>
        <w:wordWrap/>
        <w:overflowPunct/>
        <w:topLinePunct w:val="0"/>
        <w:autoSpaceDE/>
        <w:autoSpaceDN/>
        <w:bidi w:val="0"/>
        <w:adjustRightInd w:val="0"/>
        <w:snapToGrid/>
        <w:spacing w:line="360" w:lineRule="auto"/>
        <w:ind w:firstLine="480" w:firstLineChars="200"/>
        <w:jc w:val="both"/>
        <w:textAlignment w:val="auto"/>
        <w:outlineLvl w:val="9"/>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模型采用ODD协议（Grimm等，2010）完整描述，确保透明性和可复现性。</w:t>
      </w:r>
    </w:p>
    <w:p w14:paraId="33BAB5D8">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3.5.3 模拟结果与热点分析</w:t>
      </w:r>
      <w:bookmarkEnd w:id="69"/>
      <w:bookmarkEnd w:id="70"/>
      <w:bookmarkStart w:id="71" w:name="_Toc14814"/>
      <w:bookmarkStart w:id="72" w:name="_Toc6686"/>
    </w:p>
    <w:p w14:paraId="0510F8D7">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（1）合作水平的时间演化</w:t>
      </w:r>
    </w:p>
    <w:p w14:paraId="6355C944">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模型输出不同情景下合作率的动态变化曲线，揭示合作涌现的临界条件。例如，无干预时合作率可能长期低位波动；引入意见领袖示范后，合作率可显著提升并稳定在较高水平；负面信息早期传播可能导致合作崩溃。</w:t>
      </w:r>
    </w:p>
    <w:p w14:paraId="7ADE4BAD">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（2）网络结构的影响</w:t>
      </w:r>
    </w:p>
    <w:p w14:paraId="58E996DE">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比较不同网络结构下的合作演化速度与稳定性。研究发现，小世界网络（兼具高聚类和短路径）往往最有利于合作扩散；无标度网络虽能快速形成合作核心，但易受关键节点行为变化的影响；随机网络合作水平最低且波动最大。</w:t>
      </w:r>
    </w:p>
    <w:p w14:paraId="295B9BD4">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（3）合作行为的空间热点</w:t>
      </w:r>
    </w:p>
    <w:p w14:paraId="56DF68A7">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利用核密度估计（KDE）或网络中心性指标，识别合作行为的空间集聚特征。热点区域通常与家族聚居区、意见领袖所在地、高信息可达性区域重合，揭示社会网络与地理空间的交互作用。</w:t>
      </w:r>
    </w:p>
    <w:p w14:paraId="7395936D">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（4）信息干预的效果评估</w:t>
      </w:r>
    </w:p>
    <w:p w14:paraId="10D4A830">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模拟不同信息策略的效果，如早期正面信息由跨桥联结者传播可最大化合作支持率；晚期信息对摇摆群体转化效率最高，但对已形成负面共识的群体效果有限。</w:t>
      </w:r>
    </w:p>
    <w:p w14:paraId="7F74E014">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3.5.4 与实测数据的对比验证</w:t>
      </w:r>
      <w:bookmarkEnd w:id="71"/>
      <w:bookmarkEnd w:id="72"/>
    </w:p>
    <w:p w14:paraId="72A7788C">
      <w:pPr>
        <w:keepNext/>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bookmarkStart w:id="73" w:name="_Toc23452"/>
      <w:bookmarkStart w:id="74" w:name="_Toc29997"/>
      <w:r>
        <w:rPr>
          <w:rFonts w:hint="eastAsia" w:ascii="宋体" w:hAnsi="宋体" w:eastAsia="宋体" w:cs="宋体"/>
          <w:b w:val="0"/>
          <w:bCs w:val="0"/>
          <w:kern w:val="2"/>
          <w:sz w:val="24"/>
          <w:szCs w:val="24"/>
          <w:lang w:eastAsia="zh-CN" w:bidi="ar-SA"/>
        </w:rPr>
        <w:t>模型验证采用多源数据交叉比对：</w:t>
      </w:r>
    </w:p>
    <w:p w14:paraId="4AA0CB68">
      <w:pPr>
        <w:keepNext/>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时间序列验证：将模拟的合作率演化与历史观测数据（如灌溉记录、参与率统计）进行对比，评估模型对长期趋势的拟合能力（如Odongo等对1965-2010年扩散模式的验证）。</w:t>
      </w:r>
    </w:p>
    <w:p w14:paraId="00976E34">
      <w:pPr>
        <w:keepNext/>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空间分布验证：将模拟的热点区域与实地调查或遥感数据（如植被指数、渠道维护记录）进行空间相关性分析。</w:t>
      </w:r>
    </w:p>
    <w:p w14:paraId="7770F8B8">
      <w:pPr>
        <w:keepNext/>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宏观变量验证：将模型输出的集体结果（如灌溉效率、土壤流失量）与独立实测数据（如湖泊沉积率）对比，验证模型对系统级响应的预测能力（如Reinhard等对收入波动性的验证）。</w:t>
      </w:r>
    </w:p>
    <w:p w14:paraId="57CAB7EB">
      <w:pPr>
        <w:keepNext/>
        <w:keepLines w:val="0"/>
        <w:pageBreakBefore w:val="0"/>
        <w:widowControl w:val="0"/>
        <w:numPr>
          <w:ilvl w:val="0"/>
          <w:numId w:val="0"/>
        </w:numPr>
        <w:kinsoku/>
        <w:wordWrap/>
        <w:overflowPunct/>
        <w:topLinePunct w:val="0"/>
        <w:autoSpaceDE/>
        <w:autoSpaceDN/>
        <w:bidi w:val="0"/>
        <w:adjustRightInd w:val="0"/>
        <w:snapToGrid/>
        <w:spacing w:line="360" w:lineRule="auto"/>
        <w:ind w:left="0" w:leftChars="0" w:firstLine="480" w:firstLineChars="200"/>
        <w:jc w:val="left"/>
        <w:textAlignment w:val="auto"/>
        <w:outlineLvl w:val="2"/>
        <w:rPr>
          <w:rFonts w:hint="eastAsia" w:ascii="宋体" w:hAnsi="宋体" w:eastAsia="宋体" w:cs="宋体"/>
          <w:b w:val="0"/>
          <w:bCs w:val="0"/>
          <w:kern w:val="2"/>
          <w:sz w:val="24"/>
          <w:szCs w:val="24"/>
          <w:lang w:eastAsia="zh-CN" w:bidi="ar-SA"/>
        </w:rPr>
      </w:pPr>
      <w:r>
        <w:rPr>
          <w:rFonts w:hint="eastAsia" w:ascii="宋体" w:hAnsi="宋体" w:eastAsia="宋体" w:cs="宋体"/>
          <w:b w:val="0"/>
          <w:bCs w:val="0"/>
          <w:kern w:val="2"/>
          <w:sz w:val="24"/>
          <w:szCs w:val="24"/>
          <w:lang w:eastAsia="zh-CN" w:bidi="ar-SA"/>
        </w:rPr>
        <w:t>敏感性分析用于识别关键参数及其不确定性范围，确保模型结论的稳健性。</w:t>
      </w:r>
    </w:p>
    <w:p w14:paraId="553F6ACC">
      <w:pPr>
        <w:keepNext/>
        <w:keepLines w:val="0"/>
        <w:widowControl w:val="0"/>
        <w:numPr>
          <w:ilvl w:val="0"/>
          <w:numId w:val="0"/>
        </w:numPr>
        <w:kinsoku/>
        <w:wordWrap/>
        <w:overflowPunct/>
        <w:topLinePunct w:val="0"/>
        <w:autoSpaceDE/>
        <w:autoSpaceDN/>
        <w:bidi w:val="0"/>
        <w:adjustRightInd w:val="0"/>
        <w:snapToGrid/>
        <w:spacing w:before="50" w:beforeLines="50" w:after="50" w:afterLines="50" w:line="360" w:lineRule="auto"/>
        <w:ind w:left="0" w:leftChars="0" w:firstLine="0" w:firstLineChars="0"/>
        <w:jc w:val="left"/>
        <w:textAlignment w:val="auto"/>
        <w:outlineLvl w:val="2"/>
        <w:rPr>
          <w:rFonts w:hint="eastAsia" w:ascii="宋体" w:hAnsi="宋体" w:eastAsia="宋体" w:cs="宋体"/>
          <w:b/>
          <w:bCs/>
          <w:kern w:val="2"/>
          <w:sz w:val="28"/>
          <w:szCs w:val="28"/>
          <w:lang w:eastAsia="zh-CN" w:bidi="ar-SA"/>
        </w:rPr>
      </w:pPr>
      <w:r>
        <w:rPr>
          <w:rFonts w:hint="eastAsia" w:ascii="宋体" w:hAnsi="宋体" w:eastAsia="宋体" w:cs="宋体"/>
          <w:b/>
          <w:bCs/>
          <w:kern w:val="2"/>
          <w:sz w:val="28"/>
          <w:szCs w:val="28"/>
          <w:lang w:eastAsia="zh-CN" w:bidi="ar-SA"/>
        </w:rPr>
        <w:t>3.5.5 案例启示</w:t>
      </w:r>
      <w:bookmarkEnd w:id="73"/>
      <w:bookmarkEnd w:id="74"/>
    </w:p>
    <w:p w14:paraId="6A579F9C">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jc w:val="left"/>
        <w:textAlignment w:val="auto"/>
        <w:rPr>
          <w:rFonts w:hint="eastAsia" w:ascii="宋体" w:hAnsi="宋体" w:eastAsia="宋体" w:cs="宋体"/>
          <w:b/>
          <w:bCs/>
          <w:sz w:val="28"/>
          <w:szCs w:val="28"/>
        </w:rPr>
      </w:pPr>
      <w:bookmarkStart w:id="75" w:name="_Toc30739"/>
      <w:bookmarkStart w:id="76" w:name="_Toc23961"/>
      <w:bookmarkStart w:id="77" w:name="_Toc20395"/>
      <w:r>
        <w:rPr>
          <w:rFonts w:hint="eastAsia" w:ascii="宋体" w:hAnsi="宋体" w:eastAsia="宋体" w:cs="宋体"/>
          <w:b/>
          <w:bCs/>
          <w:sz w:val="28"/>
          <w:szCs w:val="28"/>
        </w:rPr>
        <w:t>（1）理论启示</w:t>
      </w:r>
    </w:p>
    <w:p w14:paraId="0569B4B3">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该案例框架揭示了社会规范与集体行动的复杂互动机制：主观规范既可能加速合作扩散（当初始合作率高时），也可能抑制合作（当低合作率被锁定）。社会网络结构通过影响信息流动和社会压力分布，对合作演化起关键调节作用。门槛公共品机制强调了临界点在集体行动中的核心地位。</w:t>
      </w:r>
    </w:p>
    <w:p w14:paraId="3D12C104">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jc w:val="left"/>
        <w:textAlignment w:val="auto"/>
        <w:rPr>
          <w:rFonts w:hint="eastAsia" w:ascii="宋体" w:hAnsi="宋体" w:eastAsia="宋体" w:cs="宋体"/>
          <w:b/>
          <w:bCs/>
          <w:sz w:val="28"/>
          <w:szCs w:val="28"/>
        </w:rPr>
      </w:pPr>
      <w:r>
        <w:rPr>
          <w:rFonts w:hint="eastAsia" w:ascii="宋体" w:hAnsi="宋体" w:eastAsia="宋体" w:cs="宋体"/>
          <w:b/>
          <w:bCs/>
          <w:sz w:val="28"/>
          <w:szCs w:val="28"/>
        </w:rPr>
        <w:t>（2）方法论启示</w:t>
      </w:r>
    </w:p>
    <w:p w14:paraId="66EEA63A">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综合质性访谈、问卷调查与ABM建模，可有效提升模型的现实性和可信度。多源数据融合（社会调查、遥感、历史记录）是应对ABM验证困境的可行路径。标准化描述协议（如ODD）和开放模型代码有助于提高研究的可复现性。</w:t>
      </w:r>
    </w:p>
    <w:p w14:paraId="24E6F989">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jc w:val="left"/>
        <w:textAlignment w:val="auto"/>
        <w:rPr>
          <w:rFonts w:hint="eastAsia" w:ascii="宋体" w:hAnsi="宋体" w:eastAsia="宋体" w:cs="宋体"/>
          <w:b/>
          <w:bCs/>
          <w:sz w:val="28"/>
          <w:szCs w:val="28"/>
        </w:rPr>
      </w:pPr>
      <w:r>
        <w:rPr>
          <w:rFonts w:hint="eastAsia" w:ascii="宋体" w:hAnsi="宋体" w:eastAsia="宋体" w:cs="宋体"/>
          <w:b/>
          <w:bCs/>
          <w:sz w:val="28"/>
          <w:szCs w:val="28"/>
        </w:rPr>
        <w:t>（3）政策启示</w:t>
      </w:r>
    </w:p>
    <w:p w14:paraId="718CE9D0">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差异化干预：针对不同社会网络特征的社区，应采取差异化策略。在家族网络密集区，培育关键人物（如家族长）作为合作倡导者；在异质性高的社区，可发挥跨桥联结者的信息桥接作用。</w:t>
      </w:r>
    </w:p>
    <w:p w14:paraId="25B8FD01">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信息策略设计：早期正面信息传播至关重要，应利用社区领袖和意见领袖在初期塑造合作预期。对摇摆群体的转化可依靠晚期精准信息推送。</w:t>
      </w:r>
    </w:p>
    <w:p w14:paraId="6CC72A92">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阈值管理：政策制定者可通过补贴或承诺机制帮助社区跨越合作阈值，打破低水平均衡陷阱。</w:t>
      </w:r>
    </w:p>
    <w:p w14:paraId="7F792C1C">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监测与反馈：定期公开合作参与信息（社会比较）可有效降低搭便车行为，强化规范压力。</w:t>
      </w:r>
    </w:p>
    <w:p w14:paraId="4351454D">
      <w:pPr>
        <w:pStyle w:val="2"/>
        <w:keepNext/>
        <w:keepLines w:val="0"/>
        <w:pageBreakBefore w:val="0"/>
        <w:widowControl w:val="0"/>
        <w:numPr>
          <w:ilvl w:val="0"/>
          <w:numId w:val="0"/>
        </w:numPr>
        <w:kinsoku/>
        <w:wordWrap/>
        <w:overflowPunct/>
        <w:topLinePunct w:val="0"/>
        <w:autoSpaceDE/>
        <w:autoSpaceDN/>
        <w:bidi w:val="0"/>
        <w:adjustRightInd w:val="0"/>
        <w:snapToGrid/>
        <w:spacing w:beforeLines="0" w:afterLines="0" w:line="360" w:lineRule="auto"/>
        <w:ind w:leftChars="0" w:firstLine="480" w:firstLineChars="2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该案例框架展示了ABM作为“人工实验室”在公共管理研究中的独特价值：它不仅能够复现历史演化路径，还能在虚拟环境中测试不同政策组合的效果，为现实世界的治理设计提供科学依据。</w:t>
      </w:r>
    </w:p>
    <w:p w14:paraId="5956F4CC">
      <w:pPr>
        <w:pStyle w:val="2"/>
        <w:keepNext/>
        <w:keepLines w:val="0"/>
        <w:numPr>
          <w:ilvl w:val="0"/>
          <w:numId w:val="0"/>
        </w:numPr>
        <w:kinsoku/>
        <w:wordWrap/>
        <w:overflowPunct/>
        <w:topLinePunct w:val="0"/>
        <w:autoSpaceDE/>
        <w:autoSpaceDN/>
        <w:bidi w:val="0"/>
        <w:snapToGrid/>
        <w:spacing w:line="360" w:lineRule="auto"/>
        <w:ind w:leftChars="0"/>
        <w:textAlignment w:val="auto"/>
      </w:pPr>
      <w:r>
        <w:t>四、前沿进展：生成式ABM与验证挑战</w:t>
      </w:r>
      <w:bookmarkEnd w:id="54"/>
      <w:bookmarkEnd w:id="75"/>
      <w:bookmarkEnd w:id="76"/>
      <w:bookmarkEnd w:id="77"/>
    </w:p>
    <w:p w14:paraId="19BFD948">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宋体" w:hAnsi="宋体" w:eastAsia="宋体" w:cs="宋体"/>
          <w:b/>
        </w:rPr>
      </w:pPr>
      <w:bookmarkStart w:id="78" w:name="_Toc22995"/>
      <w:bookmarkStart w:id="79" w:name="_Toc8935"/>
      <w:bookmarkStart w:id="80" w:name="_Toc26615"/>
      <w:bookmarkStart w:id="81" w:name="_Toc9359"/>
      <w:r>
        <w:rPr>
          <w:rFonts w:hint="eastAsia" w:ascii="宋体" w:hAnsi="宋体" w:eastAsia="宋体" w:cs="宋体"/>
          <w:lang w:val="en-US" w:eastAsia="zh-CN"/>
        </w:rPr>
        <w:t>4</w:t>
      </w:r>
      <w:r>
        <w:rPr>
          <w:rFonts w:hint="eastAsia" w:ascii="宋体" w:hAnsi="宋体" w:eastAsia="宋体" w:cs="宋体"/>
          <w:lang w:eastAsia="zh-CN"/>
        </w:rPr>
        <w:t xml:space="preserve">.1 </w:t>
      </w:r>
      <w:r>
        <w:rPr>
          <w:rFonts w:hint="eastAsia" w:ascii="宋体" w:hAnsi="宋体" w:eastAsia="宋体" w:cs="宋体"/>
        </w:rPr>
        <w:t>大语言模型赋能ABM的新可能</w:t>
      </w:r>
      <w:bookmarkEnd w:id="78"/>
      <w:bookmarkEnd w:id="79"/>
      <w:bookmarkEnd w:id="80"/>
      <w:bookmarkEnd w:id="81"/>
    </w:p>
    <w:p w14:paraId="78E2CF14">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前文案例展示了传统ABM如何将农户行为规则化为四类策略（重复、优化、询问、模仿），并通过社会网络和门槛机制模拟集体行动。这类模型虽然有效，但智能体行为仍受限于预设规则，难以捕捉人类决策中的叙事推理、情感波动和情境理解能力。近年来，大语言模型的突破性进展催生了“生成式ABM”这一新兴方向，其核心思想是将LLMs作为智能体的“大脑”，使智能体具备接近人类的语言能力和推理能力，从而突破传统ABM的行为假设局限。</w:t>
      </w:r>
    </w:p>
    <w:p w14:paraId="31951E1D">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近年来，大语言模型的突破性进展催生了</w:t>
      </w:r>
      <w:r>
        <w:rPr>
          <w:rFonts w:hint="eastAsia" w:cs="Times New Roman"/>
          <w:sz w:val="24"/>
          <w:szCs w:val="24"/>
          <w:lang w:eastAsia="zh-CN"/>
        </w:rPr>
        <w:t>“</w:t>
      </w:r>
      <w:r>
        <w:rPr>
          <w:rFonts w:ascii="Times New Roman" w:hAnsi="Times New Roman" w:eastAsia="宋体" w:cs="Times New Roman"/>
          <w:sz w:val="24"/>
          <w:szCs w:val="24"/>
        </w:rPr>
        <w:t>生成式ABM</w:t>
      </w:r>
      <w:r>
        <w:rPr>
          <w:rFonts w:hint="eastAsia" w:cs="Times New Roman"/>
          <w:sz w:val="24"/>
          <w:szCs w:val="24"/>
          <w:lang w:eastAsia="zh-CN"/>
        </w:rPr>
        <w:t>”</w:t>
      </w:r>
      <w:r>
        <w:rPr>
          <w:rFonts w:ascii="Times New Roman" w:hAnsi="Times New Roman" w:eastAsia="宋体" w:cs="Times New Roman"/>
          <w:sz w:val="24"/>
          <w:szCs w:val="24"/>
        </w:rPr>
        <w:t>这一新兴方向。其核心思想是将LLMs作为智能体的</w:t>
      </w:r>
      <w:r>
        <w:rPr>
          <w:rFonts w:hint="eastAsia" w:cs="Times New Roman"/>
          <w:sz w:val="24"/>
          <w:szCs w:val="24"/>
          <w:lang w:eastAsia="zh-CN"/>
        </w:rPr>
        <w:t>“</w:t>
      </w:r>
      <w:r>
        <w:rPr>
          <w:rFonts w:ascii="Times New Roman" w:hAnsi="Times New Roman" w:eastAsia="宋体" w:cs="Times New Roman"/>
          <w:sz w:val="24"/>
          <w:szCs w:val="24"/>
        </w:rPr>
        <w:t>大脑</w:t>
      </w:r>
      <w:r>
        <w:rPr>
          <w:rFonts w:hint="eastAsia" w:cs="Times New Roman"/>
          <w:sz w:val="24"/>
          <w:szCs w:val="24"/>
          <w:lang w:eastAsia="zh-CN"/>
        </w:rPr>
        <w:t>”——</w:t>
      </w:r>
      <w:r>
        <w:rPr>
          <w:rFonts w:ascii="Times New Roman" w:hAnsi="Times New Roman" w:eastAsia="宋体" w:cs="Times New Roman"/>
          <w:sz w:val="24"/>
          <w:szCs w:val="24"/>
        </w:rPr>
        <w:t>使智能体具备接近人类的语言能力、推理能力和情境理解能力，从而解决传统ABM行为假设过于简单的批评。</w:t>
      </w:r>
    </w:p>
    <w:p w14:paraId="239AC2D7">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Park等人的开创性工作将25个LLM智能体嵌入虚拟环境，展示了人类社交模式和群体行为的自发涌现，成为生成式ABM的奠基性成果。Ziems等人系统评估了大语言模型在计算社会科学中的应用前景，涵盖社会模拟、调查方法、文本分析等多个维度。</w:t>
      </w:r>
    </w:p>
    <w:p w14:paraId="478F5CB8">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国内学者在此领域快速跟进。</w:t>
      </w:r>
      <w:r>
        <w:rPr>
          <w:rFonts w:hint="eastAsia" w:ascii="Times New Roman" w:hAnsi="Times New Roman" w:eastAsia="宋体" w:cs="Times New Roman"/>
          <w:sz w:val="24"/>
          <w:szCs w:val="24"/>
        </w:rPr>
        <w:t>Zhang S</w:t>
      </w:r>
      <w:r>
        <w:rPr>
          <w:rFonts w:ascii="Times New Roman" w:hAnsi="Times New Roman" w:eastAsia="宋体" w:cs="Times New Roman"/>
          <w:sz w:val="24"/>
          <w:szCs w:val="24"/>
        </w:rPr>
        <w:t>等人提出GPLab框架，将大语言模型智能体与模块化社会子系统架构相结合，用于政策模拟与评估。基于中国综合社会调查（CGSS）数据，在消费券和新能源汽车推广两个案例中成功捕捉了政策强度效应、群体行为异质性和情绪观点演化模式，代表了生成式ABM在中国政策场景中的前沿应用。浙江大学高云君、毛玉仁团队联合通义实验室发布了Agent-Kernel框架，构建了包含一万个大模型智能体的</w:t>
      </w:r>
      <w:r>
        <w:rPr>
          <w:rFonts w:hint="eastAsia" w:cs="Times New Roman"/>
          <w:sz w:val="24"/>
          <w:szCs w:val="24"/>
          <w:lang w:eastAsia="zh-CN"/>
        </w:rPr>
        <w:t>“</w:t>
      </w:r>
      <w:r>
        <w:rPr>
          <w:rFonts w:ascii="Times New Roman" w:hAnsi="Times New Roman" w:eastAsia="宋体" w:cs="Times New Roman"/>
          <w:sz w:val="24"/>
          <w:szCs w:val="24"/>
        </w:rPr>
        <w:t>赛博ZJU</w:t>
      </w:r>
      <w:r>
        <w:rPr>
          <w:rFonts w:hint="eastAsia" w:cs="Times New Roman"/>
          <w:sz w:val="24"/>
          <w:szCs w:val="24"/>
          <w:lang w:eastAsia="zh-CN"/>
        </w:rPr>
        <w:t>”</w:t>
      </w:r>
      <w:r>
        <w:rPr>
          <w:rFonts w:ascii="Times New Roman" w:hAnsi="Times New Roman" w:eastAsia="宋体" w:cs="Times New Roman"/>
          <w:sz w:val="24"/>
          <w:szCs w:val="24"/>
        </w:rPr>
        <w:t>校园模拟系统，智能体可自主讨论学术、比较物价等，行为基于大模型自主演化而非预设，展现</w:t>
      </w:r>
      <w:r>
        <w:rPr>
          <w:rFonts w:hint="eastAsia" w:cs="Times New Roman"/>
          <w:sz w:val="24"/>
          <w:szCs w:val="24"/>
          <w:lang w:eastAsia="zh-CN"/>
        </w:rPr>
        <w:t>“</w:t>
      </w:r>
      <w:r>
        <w:rPr>
          <w:rFonts w:ascii="Times New Roman" w:hAnsi="Times New Roman" w:eastAsia="宋体" w:cs="Times New Roman"/>
          <w:sz w:val="24"/>
          <w:szCs w:val="24"/>
        </w:rPr>
        <w:t>万智能体社会模拟</w:t>
      </w:r>
      <w:r>
        <w:rPr>
          <w:rFonts w:hint="eastAsia" w:cs="Times New Roman"/>
          <w:sz w:val="24"/>
          <w:szCs w:val="24"/>
          <w:lang w:eastAsia="zh-CN"/>
        </w:rPr>
        <w:t>”</w:t>
      </w:r>
      <w:r>
        <w:rPr>
          <w:rFonts w:ascii="Times New Roman" w:hAnsi="Times New Roman" w:eastAsia="宋体" w:cs="Times New Roman"/>
          <w:sz w:val="24"/>
          <w:szCs w:val="24"/>
        </w:rPr>
        <w:t>的可行性。</w:t>
      </w:r>
      <w:bookmarkStart w:id="82" w:name="_Toc2198"/>
    </w:p>
    <w:p w14:paraId="3423DB98">
      <w:pPr>
        <w:pStyle w:val="11"/>
        <w:keepLines w:val="0"/>
        <w:kinsoku/>
        <w:wordWrap/>
        <w:overflowPunct/>
        <w:topLinePunct w:val="0"/>
        <w:autoSpaceDE/>
        <w:autoSpaceDN/>
        <w:bidi w:val="0"/>
        <w:snapToGrid/>
        <w:spacing w:line="360" w:lineRule="auto"/>
        <w:ind w:left="0" w:leftChars="0" w:firstLine="0" w:firstLineChars="0"/>
        <w:textAlignment w:val="auto"/>
        <w:outlineLvl w:val="1"/>
        <w:rPr>
          <w:rFonts w:hint="eastAsia" w:ascii="黑体" w:hAnsi="黑体" w:eastAsia="黑体" w:cs="黑体"/>
          <w:b/>
          <w:sz w:val="28"/>
          <w:szCs w:val="28"/>
        </w:rPr>
      </w:pPr>
      <w:bookmarkStart w:id="83" w:name="_Toc5911"/>
      <w:bookmarkStart w:id="84" w:name="_Toc25100"/>
      <w:bookmarkStart w:id="85" w:name="_Toc19255"/>
      <w:r>
        <w:rPr>
          <w:rFonts w:hint="eastAsia" w:ascii="黑体" w:hAnsi="黑体" w:eastAsia="黑体" w:cs="黑体"/>
          <w:sz w:val="28"/>
          <w:szCs w:val="28"/>
          <w:lang w:val="en-US" w:eastAsia="zh-CN"/>
        </w:rPr>
        <w:t>4</w:t>
      </w:r>
      <w:r>
        <w:rPr>
          <w:rFonts w:hint="eastAsia" w:ascii="黑体" w:hAnsi="黑体" w:eastAsia="黑体" w:cs="黑体"/>
          <w:sz w:val="28"/>
          <w:szCs w:val="28"/>
          <w:lang w:eastAsia="zh-CN"/>
        </w:rPr>
        <w:t xml:space="preserve">.2 </w:t>
      </w:r>
      <w:r>
        <w:rPr>
          <w:rFonts w:hint="eastAsia" w:ascii="黑体" w:hAnsi="黑体" w:eastAsia="黑体" w:cs="黑体"/>
          <w:sz w:val="28"/>
          <w:szCs w:val="28"/>
        </w:rPr>
        <w:t>验证问题的加剧而非解决</w:t>
      </w:r>
      <w:bookmarkEnd w:id="82"/>
      <w:bookmarkEnd w:id="83"/>
      <w:bookmarkEnd w:id="84"/>
      <w:bookmarkEnd w:id="85"/>
    </w:p>
    <w:p w14:paraId="083732B7">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然而，Larooij与Törnberg的批判性分析揭示了一个悖论：LLMs本为解决传统ABM的</w:t>
      </w:r>
      <w:r>
        <w:rPr>
          <w:rFonts w:hint="eastAsia" w:cs="Times New Roman"/>
          <w:sz w:val="24"/>
          <w:szCs w:val="24"/>
          <w:lang w:eastAsia="zh-CN"/>
        </w:rPr>
        <w:t>“</w:t>
      </w:r>
      <w:r>
        <w:rPr>
          <w:rFonts w:ascii="Times New Roman" w:hAnsi="Times New Roman" w:eastAsia="宋体" w:cs="Times New Roman"/>
          <w:sz w:val="24"/>
          <w:szCs w:val="24"/>
        </w:rPr>
        <w:t>现实主义</w:t>
      </w:r>
      <w:r>
        <w:rPr>
          <w:rFonts w:hint="eastAsia" w:cs="Times New Roman"/>
          <w:sz w:val="24"/>
          <w:szCs w:val="24"/>
          <w:lang w:eastAsia="zh-CN"/>
        </w:rPr>
        <w:t>”</w:t>
      </w:r>
      <w:r>
        <w:rPr>
          <w:rFonts w:ascii="Times New Roman" w:hAnsi="Times New Roman" w:eastAsia="宋体" w:cs="Times New Roman"/>
          <w:sz w:val="24"/>
          <w:szCs w:val="24"/>
        </w:rPr>
        <w:t>问题而被引入，但其对验证和校准问题的含义却令人担忧。他们发现，现有研究对ABM领域长期存在的方法论争论缺乏历史意识，验证问题普遍未得到妥善处理，许多研究仅依赖对模型“可信度”的主观评估。即使是最严格的验证研究，也未能充分证成模型的操作有效性。</w:t>
      </w:r>
    </w:p>
    <w:p w14:paraId="0C499E74">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作者进一步指出，有理由相信LLMs可能加剧而非解决ABM的长期挑战。LLMs作为高度复杂的</w:t>
      </w:r>
      <w:r>
        <w:rPr>
          <w:rFonts w:hint="eastAsia" w:cs="Times New Roman"/>
          <w:sz w:val="24"/>
          <w:szCs w:val="24"/>
          <w:lang w:eastAsia="zh-CN"/>
        </w:rPr>
        <w:t>“</w:t>
      </w:r>
      <w:r>
        <w:rPr>
          <w:rFonts w:ascii="Times New Roman" w:hAnsi="Times New Roman" w:eastAsia="宋体" w:cs="Times New Roman"/>
          <w:sz w:val="24"/>
          <w:szCs w:val="24"/>
        </w:rPr>
        <w:t>黑箱</w:t>
      </w:r>
      <w:r>
        <w:rPr>
          <w:rFonts w:hint="eastAsia" w:cs="Times New Roman"/>
          <w:sz w:val="24"/>
          <w:szCs w:val="24"/>
          <w:lang w:eastAsia="zh-CN"/>
        </w:rPr>
        <w:t>”</w:t>
      </w:r>
      <w:r>
        <w:rPr>
          <w:rFonts w:ascii="Times New Roman" w:hAnsi="Times New Roman" w:eastAsia="宋体" w:cs="Times New Roman"/>
          <w:sz w:val="24"/>
          <w:szCs w:val="24"/>
        </w:rPr>
        <w:t>模型，其内部机制难以解析，这加剧了可解释性、标准化和可复现性的难题。当模型本身就是一个难以理解的神经网络时，用其构建的ABM更难帮助研究者理清复杂涌现现象背后的因果机制。这一批判发人深省：我们是否在用一种不可理解的工具去理解世界？</w:t>
      </w:r>
    </w:p>
    <w:p w14:paraId="7BD334AC">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86" w:name="_Toc28074"/>
      <w:bookmarkStart w:id="87" w:name="_Toc15920"/>
      <w:bookmarkStart w:id="88" w:name="_Toc23985"/>
      <w:bookmarkStart w:id="89" w:name="_Toc16176"/>
      <w:r>
        <w:rPr>
          <w:rFonts w:hint="eastAsia" w:ascii="黑体" w:hAnsi="黑体" w:cs="黑体"/>
          <w:b w:val="0"/>
          <w:bCs w:val="0"/>
          <w:lang w:val="en-US" w:eastAsia="zh-CN"/>
        </w:rPr>
        <w:t>4</w:t>
      </w:r>
      <w:r>
        <w:rPr>
          <w:rFonts w:hint="eastAsia" w:ascii="黑体" w:hAnsi="黑体" w:eastAsia="黑体" w:cs="黑体"/>
          <w:b w:val="0"/>
          <w:bCs w:val="0"/>
          <w:lang w:eastAsia="zh-CN"/>
        </w:rPr>
        <w:t xml:space="preserve">.3 </w:t>
      </w:r>
      <w:r>
        <w:rPr>
          <w:rFonts w:hint="eastAsia" w:ascii="黑体" w:hAnsi="黑体" w:eastAsia="黑体" w:cs="黑体"/>
          <w:b w:val="0"/>
          <w:bCs w:val="0"/>
        </w:rPr>
        <w:t>生成式ABM的伦理挑战</w:t>
      </w:r>
      <w:bookmarkEnd w:id="86"/>
      <w:bookmarkEnd w:id="87"/>
      <w:bookmarkEnd w:id="88"/>
      <w:bookmarkEnd w:id="89"/>
    </w:p>
    <w:p w14:paraId="1A2B3FBE">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生成式ABM的兴起还带来了新的伦理挑战，这些问题在现有文献中讨论不足，却至关重要。</w:t>
      </w:r>
    </w:p>
    <w:p w14:paraId="4C3D210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第一，大模型智能体的</w:t>
      </w:r>
      <w:r>
        <w:rPr>
          <w:rFonts w:hint="eastAsia" w:cs="Times New Roman"/>
          <w:sz w:val="24"/>
          <w:szCs w:val="24"/>
          <w:lang w:eastAsia="zh-CN"/>
        </w:rPr>
        <w:t>“</w:t>
      </w:r>
      <w:r>
        <w:rPr>
          <w:rFonts w:ascii="Times New Roman" w:hAnsi="Times New Roman" w:eastAsia="宋体" w:cs="Times New Roman"/>
          <w:sz w:val="24"/>
          <w:szCs w:val="24"/>
        </w:rPr>
        <w:t>价值观</w:t>
      </w:r>
      <w:r>
        <w:rPr>
          <w:rFonts w:hint="eastAsia" w:cs="Times New Roman"/>
          <w:sz w:val="24"/>
          <w:szCs w:val="24"/>
          <w:lang w:eastAsia="zh-CN"/>
        </w:rPr>
        <w:t>”</w:t>
      </w:r>
      <w:r>
        <w:rPr>
          <w:rFonts w:ascii="Times New Roman" w:hAnsi="Times New Roman" w:eastAsia="宋体" w:cs="Times New Roman"/>
          <w:sz w:val="24"/>
          <w:szCs w:val="24"/>
        </w:rPr>
        <w:t>从何而来？ LLMs的训练数据主要来自互联网，其中内嵌了特定文化背景、意识形态和价值观。研究表明，主流LLMs（如GPT系列）在政治倾向、文化偏好等方面呈现出明显的西方中心主义特征。当用这样的模型模拟中国本土的规范演化时，模拟结果可能在无意中偏离中国社会的实际情况。例如，在模拟</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对合作行为的影响时，西方训练的模型可能无法准确捕捉这一概念的文化内涵</w:t>
      </w:r>
      <w:r>
        <w:rPr>
          <w:rFonts w:hint="eastAsia" w:cs="Times New Roman"/>
          <w:sz w:val="24"/>
          <w:szCs w:val="24"/>
          <w:lang w:eastAsia="zh-CN"/>
        </w:rPr>
        <w:t>——</w:t>
      </w:r>
      <w:r>
        <w:rPr>
          <w:rFonts w:ascii="Times New Roman" w:hAnsi="Times New Roman" w:eastAsia="宋体" w:cs="Times New Roman"/>
          <w:sz w:val="24"/>
          <w:szCs w:val="24"/>
        </w:rPr>
        <w:t>它将</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简化为</w:t>
      </w:r>
      <w:r>
        <w:rPr>
          <w:rFonts w:hint="eastAsia" w:cs="Times New Roman"/>
          <w:sz w:val="24"/>
          <w:szCs w:val="24"/>
          <w:lang w:eastAsia="zh-CN"/>
        </w:rPr>
        <w:t>“</w:t>
      </w:r>
      <w:r>
        <w:rPr>
          <w:rFonts w:ascii="Times New Roman" w:hAnsi="Times New Roman" w:eastAsia="宋体" w:cs="Times New Roman"/>
          <w:sz w:val="24"/>
          <w:szCs w:val="24"/>
        </w:rPr>
        <w:t>社会声誉</w:t>
      </w:r>
      <w:r>
        <w:rPr>
          <w:rFonts w:hint="eastAsia" w:cs="Times New Roman"/>
          <w:sz w:val="24"/>
          <w:szCs w:val="24"/>
          <w:lang w:eastAsia="zh-CN"/>
        </w:rPr>
        <w:t>”</w:t>
      </w:r>
      <w:r>
        <w:rPr>
          <w:rFonts w:ascii="Times New Roman" w:hAnsi="Times New Roman" w:eastAsia="宋体" w:cs="Times New Roman"/>
          <w:sz w:val="24"/>
          <w:szCs w:val="24"/>
        </w:rPr>
        <w:t>，而忽略了中国语境中</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所蕴含的义务性、互惠性和情境性。这一问题对于政策模拟尤为重要</w:t>
      </w:r>
      <w:r>
        <w:rPr>
          <w:rFonts w:hint="eastAsia" w:cs="Times New Roman"/>
          <w:sz w:val="24"/>
          <w:szCs w:val="24"/>
          <w:lang w:eastAsia="zh-CN"/>
        </w:rPr>
        <w:t>——</w:t>
      </w:r>
      <w:r>
        <w:rPr>
          <w:rFonts w:ascii="Times New Roman" w:hAnsi="Times New Roman" w:eastAsia="宋体" w:cs="Times New Roman"/>
          <w:sz w:val="24"/>
          <w:szCs w:val="24"/>
        </w:rPr>
        <w:t>如果智能体的价值观存在系统性偏差，基于模拟结果的政策建议可能产生误导。</w:t>
      </w:r>
    </w:p>
    <w:p w14:paraId="2086EBD0">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第二，谁被模拟、谁被忽略？ 生成式ABM的智能体通常需要大量计算资源，这可能导致研究者倾向于模拟</w:t>
      </w:r>
      <w:r>
        <w:rPr>
          <w:rFonts w:hint="eastAsia" w:cs="Times New Roman"/>
          <w:sz w:val="24"/>
          <w:szCs w:val="24"/>
          <w:lang w:eastAsia="zh-CN"/>
        </w:rPr>
        <w:t>“</w:t>
      </w:r>
      <w:r>
        <w:rPr>
          <w:rFonts w:ascii="Times New Roman" w:hAnsi="Times New Roman" w:eastAsia="宋体" w:cs="Times New Roman"/>
          <w:sz w:val="24"/>
          <w:szCs w:val="24"/>
        </w:rPr>
        <w:t>典型用户</w:t>
      </w:r>
      <w:r>
        <w:rPr>
          <w:rFonts w:hint="eastAsia" w:cs="Times New Roman"/>
          <w:sz w:val="24"/>
          <w:szCs w:val="24"/>
          <w:lang w:eastAsia="zh-CN"/>
        </w:rPr>
        <w:t>”</w:t>
      </w:r>
      <w:r>
        <w:rPr>
          <w:rFonts w:ascii="Times New Roman" w:hAnsi="Times New Roman" w:eastAsia="宋体" w:cs="Times New Roman"/>
          <w:sz w:val="24"/>
          <w:szCs w:val="24"/>
        </w:rPr>
        <w:t>而忽略边缘群体。正如Mergel等人在讨论大数据时指出的，数字鸿沟问题同样存在于ABM研究中。如果模型中的智能体主要代表城市中产、高教育水平的互联网用户，那么模拟结果对理解农村居民、老年人、低收入群体的行为可能缺乏解释力。更严重的是，若政策制定者依据这样的模拟结果决策，可能进一步加剧既有不平等</w:t>
      </w:r>
      <w:r>
        <w:rPr>
          <w:rFonts w:hint="eastAsia" w:cs="Times New Roman"/>
          <w:sz w:val="24"/>
          <w:szCs w:val="24"/>
          <w:lang w:eastAsia="zh-CN"/>
        </w:rPr>
        <w:t>——</w:t>
      </w:r>
      <w:r>
        <w:rPr>
          <w:rFonts w:ascii="Times New Roman" w:hAnsi="Times New Roman" w:eastAsia="宋体" w:cs="Times New Roman"/>
          <w:sz w:val="24"/>
          <w:szCs w:val="24"/>
        </w:rPr>
        <w:t>那些未被</w:t>
      </w:r>
      <w:r>
        <w:rPr>
          <w:rFonts w:hint="eastAsia" w:cs="Times New Roman"/>
          <w:sz w:val="24"/>
          <w:szCs w:val="24"/>
          <w:lang w:eastAsia="zh-CN"/>
        </w:rPr>
        <w:t>“</w:t>
      </w:r>
      <w:r>
        <w:rPr>
          <w:rFonts w:ascii="Times New Roman" w:hAnsi="Times New Roman" w:eastAsia="宋体" w:cs="Times New Roman"/>
          <w:sz w:val="24"/>
          <w:szCs w:val="24"/>
        </w:rPr>
        <w:t>看见</w:t>
      </w:r>
      <w:r>
        <w:rPr>
          <w:rFonts w:hint="eastAsia" w:cs="Times New Roman"/>
          <w:sz w:val="24"/>
          <w:szCs w:val="24"/>
          <w:lang w:eastAsia="zh-CN"/>
        </w:rPr>
        <w:t>”</w:t>
      </w:r>
      <w:r>
        <w:rPr>
          <w:rFonts w:ascii="Times New Roman" w:hAnsi="Times New Roman" w:eastAsia="宋体" w:cs="Times New Roman"/>
          <w:sz w:val="24"/>
          <w:szCs w:val="24"/>
        </w:rPr>
        <w:t>的群体的需求将被系统性忽略。例如，在城市社区治理模拟中，若不纳入老年人的行为模式，基于模拟结果设计的线上参与平台可能将这一群体排除在外。</w:t>
      </w:r>
    </w:p>
    <w:p w14:paraId="4A14F183">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第三，模型的可复现性问题。 生成式ABM依赖的LLMs版本更新频繁，模型行为可能随之变化。今天发表的模拟结果，明天可能无法复现。例如，OpenAI对GPT模型的微调可能导致同一提示词在不同时间产生不同回应。这挑战了科学研究的基本规范。为应对这一挑战，学界正在探索多种解决方案：一是建立模型共享平台，如Hugging Face的模型库，使研究者可以固定使用特定版本；二是推行标准化报告格式，要求作者详细记录模型版本、参数设置、随机种子等信息，如《Journal of Artificial Societies and Social Simulation》已开始要求作者提交可复现性声明；三是鼓励开源模型的开发和使用，降低对商业API的依赖，如Meta发布的Llama系列模型为学术研究提供了更多可控性。</w:t>
      </w:r>
    </w:p>
    <w:p w14:paraId="5F1A00F4">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第四，知情同意与数据隐私。 生成式ABM的训练数据往往来自互联网用户的无意识贡献。当这些数据被用于构建模拟人类社会的智能体时，原始数据提供者是否知情？是否应该征得他们的同意？这些问题尚无明确答案，但值得学界持续关注。欧盟《通用数据保护条例》（GDPR）和中国《个人信息保护法》对数据收集和使用提出了严格要求，但应用于ABM研究时仍存在解释空间。例如，使用公开的社交媒体数据进行模型训练，是否属于</w:t>
      </w:r>
      <w:r>
        <w:rPr>
          <w:rFonts w:hint="eastAsia" w:cs="Times New Roman"/>
          <w:sz w:val="24"/>
          <w:szCs w:val="24"/>
          <w:lang w:eastAsia="zh-CN"/>
        </w:rPr>
        <w:t>“</w:t>
      </w:r>
      <w:r>
        <w:rPr>
          <w:rFonts w:ascii="Times New Roman" w:hAnsi="Times New Roman" w:eastAsia="宋体" w:cs="Times New Roman"/>
          <w:sz w:val="24"/>
          <w:szCs w:val="24"/>
        </w:rPr>
        <w:t>合理使用</w:t>
      </w:r>
      <w:r>
        <w:rPr>
          <w:rFonts w:hint="eastAsia" w:cs="Times New Roman"/>
          <w:sz w:val="24"/>
          <w:szCs w:val="24"/>
          <w:lang w:eastAsia="zh-CN"/>
        </w:rPr>
        <w:t>”</w:t>
      </w:r>
      <w:r>
        <w:rPr>
          <w:rFonts w:ascii="Times New Roman" w:hAnsi="Times New Roman" w:eastAsia="宋体" w:cs="Times New Roman"/>
          <w:sz w:val="24"/>
          <w:szCs w:val="24"/>
        </w:rPr>
        <w:t>？这一问题有待进一步澄清。</w:t>
      </w:r>
    </w:p>
    <w:p w14:paraId="5E7E2191">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90" w:name="_Toc27202"/>
      <w:bookmarkStart w:id="91" w:name="_Toc22745"/>
      <w:bookmarkStart w:id="92" w:name="_Toc19653"/>
      <w:bookmarkStart w:id="93" w:name="_Toc25508"/>
      <w:r>
        <w:rPr>
          <w:rFonts w:hint="eastAsia"/>
          <w:b w:val="0"/>
          <w:bCs w:val="0"/>
          <w:lang w:val="en-US" w:eastAsia="zh-CN"/>
        </w:rPr>
        <w:t>4</w:t>
      </w:r>
      <w:r>
        <w:rPr>
          <w:rFonts w:hint="eastAsia"/>
          <w:b w:val="0"/>
          <w:bCs w:val="0"/>
          <w:lang w:eastAsia="zh-CN"/>
        </w:rPr>
        <w:t xml:space="preserve">.4 </w:t>
      </w:r>
      <w:r>
        <w:rPr>
          <w:b w:val="0"/>
          <w:bCs w:val="0"/>
        </w:rPr>
        <w:t>前沿探索：验证方法的新尝试</w:t>
      </w:r>
      <w:bookmarkEnd w:id="90"/>
      <w:bookmarkEnd w:id="91"/>
      <w:bookmarkEnd w:id="92"/>
      <w:bookmarkEnd w:id="93"/>
    </w:p>
    <w:p w14:paraId="056E2463">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尽管面临挑战，学者们也在探索生成式ABM的验证方法。</w:t>
      </w:r>
      <w:r>
        <w:rPr>
          <w:rFonts w:hint="eastAsia" w:ascii="Times New Roman" w:hAnsi="Times New Roman" w:eastAsia="宋体" w:cs="Times New Roman"/>
          <w:sz w:val="24"/>
          <w:szCs w:val="24"/>
        </w:rPr>
        <w:t>Zhang S</w:t>
      </w:r>
      <w:r>
        <w:rPr>
          <w:rFonts w:ascii="Times New Roman" w:hAnsi="Times New Roman" w:eastAsia="宋体" w:cs="Times New Roman"/>
          <w:sz w:val="24"/>
          <w:szCs w:val="24"/>
        </w:rPr>
        <w:t>等人的研究中尝试了使用CGSS调查数据对智能体初始分布进行校准，并对比模拟结果与真实政策效果。浙江大学团队的万智能体系统则以真实校园环境为参照，通过聚合行为指标评估模拟的合理性。Shults等人的概念性综述呼吁结合计算指标与人类评估，发展系统的验证框架。</w:t>
      </w:r>
    </w:p>
    <w:p w14:paraId="5B05747B">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此外，一些研究开始探索</w:t>
      </w:r>
      <w:r>
        <w:rPr>
          <w:rFonts w:hint="eastAsia" w:cs="Times New Roman"/>
          <w:sz w:val="24"/>
          <w:szCs w:val="24"/>
          <w:lang w:eastAsia="zh-CN"/>
        </w:rPr>
        <w:t>“</w:t>
      </w:r>
      <w:r>
        <w:rPr>
          <w:rFonts w:ascii="Times New Roman" w:hAnsi="Times New Roman" w:eastAsia="宋体" w:cs="Times New Roman"/>
          <w:sz w:val="24"/>
          <w:szCs w:val="24"/>
        </w:rPr>
        <w:t>计算图灵测试</w:t>
      </w:r>
      <w:r>
        <w:rPr>
          <w:rFonts w:hint="eastAsia" w:cs="Times New Roman"/>
          <w:sz w:val="24"/>
          <w:szCs w:val="24"/>
          <w:lang w:eastAsia="zh-CN"/>
        </w:rPr>
        <w:t>”</w:t>
      </w:r>
      <w:r>
        <w:rPr>
          <w:rFonts w:ascii="Times New Roman" w:hAnsi="Times New Roman" w:eastAsia="宋体" w:cs="Times New Roman"/>
          <w:sz w:val="24"/>
          <w:szCs w:val="24"/>
        </w:rPr>
        <w:t>作为验证手段</w:t>
      </w:r>
      <w:r>
        <w:rPr>
          <w:rFonts w:hint="eastAsia" w:cs="Times New Roman"/>
          <w:sz w:val="24"/>
          <w:szCs w:val="24"/>
          <w:lang w:eastAsia="zh-CN"/>
        </w:rPr>
        <w:t>——</w:t>
      </w:r>
      <w:r>
        <w:rPr>
          <w:rFonts w:ascii="Times New Roman" w:hAnsi="Times New Roman" w:eastAsia="宋体" w:cs="Times New Roman"/>
          <w:sz w:val="24"/>
          <w:szCs w:val="24"/>
        </w:rPr>
        <w:t>让人类评判者区分智能体行为与真实人类行为，以此评估智能体的真实性。也有学者主张将质性研究方法纳入验证过程，通过深度访谈、田野观察等方式获取</w:t>
      </w:r>
      <w:r>
        <w:rPr>
          <w:rFonts w:hint="eastAsia" w:cs="Times New Roman"/>
          <w:sz w:val="24"/>
          <w:szCs w:val="24"/>
          <w:lang w:eastAsia="zh-CN"/>
        </w:rPr>
        <w:t>“</w:t>
      </w:r>
      <w:r>
        <w:rPr>
          <w:rFonts w:ascii="Times New Roman" w:hAnsi="Times New Roman" w:eastAsia="宋体" w:cs="Times New Roman"/>
          <w:sz w:val="24"/>
          <w:szCs w:val="24"/>
        </w:rPr>
        <w:t>厚数据</w:t>
      </w:r>
      <w:r>
        <w:rPr>
          <w:rFonts w:hint="eastAsia" w:cs="Times New Roman"/>
          <w:sz w:val="24"/>
          <w:szCs w:val="24"/>
          <w:lang w:eastAsia="zh-CN"/>
        </w:rPr>
        <w:t>”</w:t>
      </w:r>
      <w:r>
        <w:rPr>
          <w:rFonts w:ascii="Times New Roman" w:hAnsi="Times New Roman" w:eastAsia="宋体" w:cs="Times New Roman"/>
          <w:sz w:val="24"/>
          <w:szCs w:val="24"/>
        </w:rPr>
        <w:t>，与模拟结果进行比对。例如，在城市社区治理的研究中，ABM模型的参数设定可基于对业主的深度访谈，这种</w:t>
      </w:r>
      <w:r>
        <w:rPr>
          <w:rFonts w:hint="eastAsia" w:cs="Times New Roman"/>
          <w:sz w:val="24"/>
          <w:szCs w:val="24"/>
          <w:lang w:eastAsia="zh-CN"/>
        </w:rPr>
        <w:t>“</w:t>
      </w:r>
      <w:r>
        <w:rPr>
          <w:rFonts w:ascii="Times New Roman" w:hAnsi="Times New Roman" w:eastAsia="宋体" w:cs="Times New Roman"/>
          <w:sz w:val="24"/>
          <w:szCs w:val="24"/>
        </w:rPr>
        <w:t>质性</w:t>
      </w:r>
      <w:r>
        <w:rPr>
          <w:rFonts w:hint="eastAsia" w:cs="Times New Roman"/>
          <w:sz w:val="24"/>
          <w:szCs w:val="24"/>
          <w:lang w:eastAsia="zh-CN"/>
        </w:rPr>
        <w:t>—</w:t>
      </w:r>
      <w:r>
        <w:rPr>
          <w:rFonts w:ascii="Times New Roman" w:hAnsi="Times New Roman" w:eastAsia="宋体" w:cs="Times New Roman"/>
          <w:sz w:val="24"/>
          <w:szCs w:val="24"/>
        </w:rPr>
        <w:t>计算</w:t>
      </w:r>
      <w:r>
        <w:rPr>
          <w:rFonts w:hint="eastAsia" w:cs="Times New Roman"/>
          <w:sz w:val="24"/>
          <w:szCs w:val="24"/>
          <w:lang w:eastAsia="zh-CN"/>
        </w:rPr>
        <w:t>”</w:t>
      </w:r>
      <w:r>
        <w:rPr>
          <w:rFonts w:ascii="Times New Roman" w:hAnsi="Times New Roman" w:eastAsia="宋体" w:cs="Times New Roman"/>
          <w:sz w:val="24"/>
          <w:szCs w:val="24"/>
        </w:rPr>
        <w:t>结合的路径为验证方法提供了新思路。这些探索尚处起步阶段，但为后续研究提供了方法借鉴。</w:t>
      </w:r>
    </w:p>
    <w:p w14:paraId="5F216D37">
      <w:pPr>
        <w:pStyle w:val="2"/>
        <w:keepNext/>
        <w:keepLines w:val="0"/>
        <w:numPr>
          <w:ilvl w:val="0"/>
          <w:numId w:val="0"/>
        </w:numPr>
        <w:kinsoku/>
        <w:wordWrap/>
        <w:overflowPunct/>
        <w:topLinePunct w:val="0"/>
        <w:autoSpaceDE/>
        <w:autoSpaceDN/>
        <w:bidi w:val="0"/>
        <w:snapToGrid/>
        <w:spacing w:line="360" w:lineRule="auto"/>
        <w:ind w:leftChars="0"/>
        <w:textAlignment w:val="auto"/>
      </w:pPr>
      <w:bookmarkStart w:id="94" w:name="_Toc12594"/>
      <w:bookmarkStart w:id="95" w:name="_Toc18488"/>
      <w:bookmarkStart w:id="96" w:name="_Toc14960"/>
      <w:bookmarkStart w:id="97" w:name="_Toc3226"/>
      <w:r>
        <w:t>五、研究评述与未来展望</w:t>
      </w:r>
      <w:bookmarkEnd w:id="94"/>
      <w:bookmarkEnd w:id="95"/>
      <w:bookmarkEnd w:id="96"/>
      <w:bookmarkEnd w:id="97"/>
    </w:p>
    <w:p w14:paraId="7C1C4B90">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98" w:name="_Toc9638"/>
      <w:bookmarkStart w:id="99" w:name="_Toc11901"/>
      <w:bookmarkStart w:id="100" w:name="_Toc24046"/>
      <w:bookmarkStart w:id="101" w:name="_Toc18545"/>
      <w:r>
        <w:rPr>
          <w:rFonts w:hint="eastAsia"/>
          <w:b w:val="0"/>
          <w:bCs w:val="0"/>
          <w:lang w:val="en-US" w:eastAsia="zh-CN"/>
        </w:rPr>
        <w:t>5</w:t>
      </w:r>
      <w:r>
        <w:rPr>
          <w:rFonts w:hint="eastAsia"/>
          <w:b w:val="0"/>
          <w:bCs w:val="0"/>
          <w:lang w:eastAsia="zh-CN"/>
        </w:rPr>
        <w:t xml:space="preserve">.1 </w:t>
      </w:r>
      <w:r>
        <w:rPr>
          <w:b w:val="0"/>
          <w:bCs w:val="0"/>
        </w:rPr>
        <w:t>已有研究的主要贡献</w:t>
      </w:r>
      <w:bookmarkEnd w:id="98"/>
      <w:bookmarkEnd w:id="99"/>
      <w:bookmarkEnd w:id="100"/>
      <w:bookmarkEnd w:id="101"/>
    </w:p>
    <w:p w14:paraId="38AE93D9">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综合上述文献，该领域已形成的核心贡献包括：</w:t>
      </w:r>
    </w:p>
    <w:p w14:paraId="52644F63">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方法论层面：确立了ABM作为</w:t>
      </w:r>
      <w:r>
        <w:rPr>
          <w:rFonts w:hint="eastAsia" w:cs="Times New Roman"/>
          <w:sz w:val="24"/>
          <w:szCs w:val="24"/>
          <w:lang w:eastAsia="zh-CN"/>
        </w:rPr>
        <w:t>“</w:t>
      </w:r>
      <w:r>
        <w:rPr>
          <w:rFonts w:ascii="Times New Roman" w:hAnsi="Times New Roman" w:eastAsia="宋体" w:cs="Times New Roman"/>
          <w:sz w:val="24"/>
          <w:szCs w:val="24"/>
        </w:rPr>
        <w:t>生成社会科学</w:t>
      </w:r>
      <w:r>
        <w:rPr>
          <w:rFonts w:hint="eastAsia" w:cs="Times New Roman"/>
          <w:sz w:val="24"/>
          <w:szCs w:val="24"/>
          <w:lang w:eastAsia="zh-CN"/>
        </w:rPr>
        <w:t>”</w:t>
      </w:r>
      <w:r>
        <w:rPr>
          <w:rFonts w:ascii="Times New Roman" w:hAnsi="Times New Roman" w:eastAsia="宋体" w:cs="Times New Roman"/>
          <w:sz w:val="24"/>
          <w:szCs w:val="24"/>
        </w:rPr>
        <w:t>核心方法的地位，明确了机制解释的说明模式。</w:t>
      </w:r>
    </w:p>
    <w:p w14:paraId="08E7D8D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理论层面：揭示了规范演化的多种路径——基于互惠、基于惩罚、基于承诺、基于志愿者选择等。澄清了个体异质性和社会身份在集体行动中的作用。</w:t>
      </w:r>
    </w:p>
    <w:p w14:paraId="135BE605">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经验层面：在公共池塘资源、社会-生态系统等领域开展了经验校准的尝试，部分研究实现了与调查数据的对接。中国本土研究也开始在“差序格局”形式化、互联网平台用户行为等领域积累初步成果。</w:t>
      </w:r>
    </w:p>
    <w:p w14:paraId="123C1161">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102" w:name="_Toc11821"/>
      <w:bookmarkStart w:id="103" w:name="_Toc18229"/>
      <w:bookmarkStart w:id="104" w:name="_Toc5733"/>
      <w:bookmarkStart w:id="105" w:name="_Toc17334"/>
      <w:r>
        <w:rPr>
          <w:rFonts w:hint="eastAsia"/>
          <w:b w:val="0"/>
          <w:bCs w:val="0"/>
          <w:lang w:val="en-US" w:eastAsia="zh-CN"/>
        </w:rPr>
        <w:t>5</w:t>
      </w:r>
      <w:r>
        <w:rPr>
          <w:rFonts w:hint="eastAsia"/>
          <w:b w:val="0"/>
          <w:bCs w:val="0"/>
          <w:lang w:eastAsia="zh-CN"/>
        </w:rPr>
        <w:t xml:space="preserve">.2 </w:t>
      </w:r>
      <w:r>
        <w:rPr>
          <w:b w:val="0"/>
          <w:bCs w:val="0"/>
        </w:rPr>
        <w:t>现有研究的不足与空白</w:t>
      </w:r>
      <w:bookmarkEnd w:id="102"/>
      <w:bookmarkEnd w:id="103"/>
      <w:bookmarkEnd w:id="104"/>
      <w:bookmarkEnd w:id="105"/>
    </w:p>
    <w:p w14:paraId="7B2B2FEF">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行为理论整合不足：多数模型仍依赖理性选择框架，对心理学和社会学中的丰富行为理论（如规范内化、社会认同、道德情感）吸纳不足。这导致模型中的</w:t>
      </w:r>
      <w:r>
        <w:rPr>
          <w:rFonts w:hint="eastAsia" w:cs="Times New Roman"/>
          <w:sz w:val="24"/>
          <w:szCs w:val="24"/>
          <w:lang w:eastAsia="zh-CN"/>
        </w:rPr>
        <w:t>“</w:t>
      </w:r>
      <w:r>
        <w:rPr>
          <w:rFonts w:ascii="Times New Roman" w:hAnsi="Times New Roman" w:eastAsia="宋体" w:cs="Times New Roman"/>
          <w:sz w:val="24"/>
          <w:szCs w:val="24"/>
        </w:rPr>
        <w:t>人</w:t>
      </w:r>
      <w:r>
        <w:rPr>
          <w:rFonts w:hint="eastAsia" w:cs="Times New Roman"/>
          <w:sz w:val="24"/>
          <w:szCs w:val="24"/>
          <w:lang w:eastAsia="zh-CN"/>
        </w:rPr>
        <w:t>”</w:t>
      </w:r>
      <w:r>
        <w:rPr>
          <w:rFonts w:ascii="Times New Roman" w:hAnsi="Times New Roman" w:eastAsia="宋体" w:cs="Times New Roman"/>
          <w:sz w:val="24"/>
          <w:szCs w:val="24"/>
        </w:rPr>
        <w:t>往往是经济学意义上而非真实意义上的人。</w:t>
      </w:r>
    </w:p>
    <w:p w14:paraId="0261F2A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规范类型学理解单一：描述性规范与指令性规范的区分得到承认，但二者的互动机制、规范的动态信号传递过程缺乏系统研究。规范是如何被感知、解释和重构的？这些问题仍有待深入。</w:t>
      </w:r>
    </w:p>
    <w:p w14:paraId="64B03C5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验证标准薄弱：无论是传统ABM还是生成式ABM，验证问题始终是薄弱环节。LLMs的引入使这一问题更为突出。</w:t>
      </w:r>
    </w:p>
    <w:p w14:paraId="7F6AE9F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地理分布失衡：现有研究主要集中于欧洲和北美，发展中国家的案例和视角相对欠缺。不同文化背景下的规范演化机制是否存在差异？这是一个值得探索的问题。</w:t>
      </w:r>
    </w:p>
    <w:p w14:paraId="2868B40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数字鸿沟问题被忽视：现有ABM研究很少反思</w:t>
      </w:r>
      <w:r>
        <w:rPr>
          <w:rFonts w:hint="eastAsia" w:cs="Times New Roman"/>
          <w:sz w:val="24"/>
          <w:szCs w:val="24"/>
          <w:lang w:eastAsia="zh-CN"/>
        </w:rPr>
        <w:t>“</w:t>
      </w:r>
      <w:r>
        <w:rPr>
          <w:rFonts w:ascii="Times New Roman" w:hAnsi="Times New Roman" w:eastAsia="宋体" w:cs="Times New Roman"/>
          <w:sz w:val="24"/>
          <w:szCs w:val="24"/>
        </w:rPr>
        <w:t>谁被模拟、谁被忽略</w:t>
      </w:r>
      <w:r>
        <w:rPr>
          <w:rFonts w:hint="eastAsia" w:cs="Times New Roman"/>
          <w:sz w:val="24"/>
          <w:szCs w:val="24"/>
          <w:lang w:eastAsia="zh-CN"/>
        </w:rPr>
        <w:t>”</w:t>
      </w:r>
      <w:r>
        <w:rPr>
          <w:rFonts w:ascii="Times New Roman" w:hAnsi="Times New Roman" w:eastAsia="宋体" w:cs="Times New Roman"/>
          <w:sz w:val="24"/>
          <w:szCs w:val="24"/>
        </w:rPr>
        <w:t>的问题。模型中的智能体往往代表</w:t>
      </w:r>
      <w:r>
        <w:rPr>
          <w:rFonts w:hint="eastAsia" w:cs="Times New Roman"/>
          <w:sz w:val="24"/>
          <w:szCs w:val="24"/>
          <w:lang w:eastAsia="zh-CN"/>
        </w:rPr>
        <w:t>“</w:t>
      </w:r>
      <w:r>
        <w:rPr>
          <w:rFonts w:ascii="Times New Roman" w:hAnsi="Times New Roman" w:eastAsia="宋体" w:cs="Times New Roman"/>
          <w:sz w:val="24"/>
          <w:szCs w:val="24"/>
        </w:rPr>
        <w:t>典型个体</w:t>
      </w:r>
      <w:r>
        <w:rPr>
          <w:rFonts w:hint="eastAsia" w:cs="Times New Roman"/>
          <w:sz w:val="24"/>
          <w:szCs w:val="24"/>
          <w:lang w:eastAsia="zh-CN"/>
        </w:rPr>
        <w:t>”</w:t>
      </w:r>
      <w:r>
        <w:rPr>
          <w:rFonts w:ascii="Times New Roman" w:hAnsi="Times New Roman" w:eastAsia="宋体" w:cs="Times New Roman"/>
          <w:sz w:val="24"/>
          <w:szCs w:val="24"/>
        </w:rPr>
        <w:t>，而边缘群体的行为可能被系统性排除在模拟之外。</w:t>
      </w:r>
    </w:p>
    <w:p w14:paraId="184FBE9B">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106" w:name="_Toc24035"/>
      <w:bookmarkStart w:id="107" w:name="_Toc8290"/>
      <w:bookmarkStart w:id="108" w:name="_Toc2779"/>
      <w:bookmarkStart w:id="109" w:name="_Toc3261"/>
      <w:r>
        <w:rPr>
          <w:rFonts w:hint="eastAsia"/>
          <w:b w:val="0"/>
          <w:bCs w:val="0"/>
          <w:lang w:val="en-US" w:eastAsia="zh-CN"/>
        </w:rPr>
        <w:t>5</w:t>
      </w:r>
      <w:r>
        <w:rPr>
          <w:rFonts w:hint="eastAsia"/>
          <w:b w:val="0"/>
          <w:bCs w:val="0"/>
          <w:lang w:eastAsia="zh-CN"/>
        </w:rPr>
        <w:t xml:space="preserve">.3 </w:t>
      </w:r>
      <w:r>
        <w:rPr>
          <w:b w:val="0"/>
          <w:bCs w:val="0"/>
        </w:rPr>
        <w:t>未来研究方向</w:t>
      </w:r>
      <w:bookmarkEnd w:id="106"/>
      <w:bookmarkEnd w:id="107"/>
      <w:bookmarkEnd w:id="108"/>
      <w:bookmarkEnd w:id="109"/>
    </w:p>
    <w:p w14:paraId="216D5BA8">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基于上述评述，本文提出以下具体研究方向：</w:t>
      </w:r>
    </w:p>
    <w:p w14:paraId="2D2C4D6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向一：整合多学科行为理论。将心理学中的规范激活理论、社会学中的社会认同理论等形式化，纳入ABM的智能体决策架构。具体而言，可以探索以下问题：规范内化的程度如何受社会网络结构影响？道德情感（如愧疚、羞耻）如何调节合作行为？在不同文化背景下，这些机制是否存在差异？</w:t>
      </w:r>
    </w:p>
    <w:p w14:paraId="726F026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向二：发展动态规范模型。探索不同类型规范的交互机制，以及规范如何在社会互动中被不断信号化、解释和重构。具体研究问题包括：在何种条件下，描述性规范会转化为指令性规范？反之亦然？规范的信号传递是否存在</w:t>
      </w:r>
      <w:r>
        <w:rPr>
          <w:rFonts w:hint="eastAsia" w:cs="Times New Roman"/>
          <w:sz w:val="24"/>
          <w:szCs w:val="24"/>
          <w:lang w:eastAsia="zh-CN"/>
        </w:rPr>
        <w:t>“</w:t>
      </w:r>
      <w:r>
        <w:rPr>
          <w:rFonts w:ascii="Times New Roman" w:hAnsi="Times New Roman" w:eastAsia="宋体" w:cs="Times New Roman"/>
          <w:sz w:val="24"/>
          <w:szCs w:val="24"/>
        </w:rPr>
        <w:t>阈值效应</w:t>
      </w:r>
      <w:r>
        <w:rPr>
          <w:rFonts w:hint="eastAsia" w:cs="Times New Roman"/>
          <w:sz w:val="24"/>
          <w:szCs w:val="24"/>
          <w:lang w:eastAsia="zh-CN"/>
        </w:rPr>
        <w:t>”</w:t>
      </w:r>
      <w:r>
        <w:rPr>
          <w:rFonts w:ascii="Times New Roman" w:hAnsi="Times New Roman" w:eastAsia="宋体" w:cs="Times New Roman"/>
          <w:sz w:val="24"/>
          <w:szCs w:val="24"/>
        </w:rPr>
        <w:t>——当多少人遵守时，规范才会被个体感知为</w:t>
      </w:r>
      <w:r>
        <w:rPr>
          <w:rFonts w:hint="eastAsia" w:cs="Times New Roman"/>
          <w:sz w:val="24"/>
          <w:szCs w:val="24"/>
          <w:lang w:eastAsia="zh-CN"/>
        </w:rPr>
        <w:t>“</w:t>
      </w:r>
      <w:r>
        <w:rPr>
          <w:rFonts w:ascii="Times New Roman" w:hAnsi="Times New Roman" w:eastAsia="宋体" w:cs="Times New Roman"/>
          <w:sz w:val="24"/>
          <w:szCs w:val="24"/>
        </w:rPr>
        <w:t>应该遵守</w:t>
      </w:r>
      <w:r>
        <w:rPr>
          <w:rFonts w:hint="eastAsia" w:cs="Times New Roman"/>
          <w:sz w:val="24"/>
          <w:szCs w:val="24"/>
          <w:lang w:eastAsia="zh-CN"/>
        </w:rPr>
        <w:t>”</w:t>
      </w:r>
      <w:r>
        <w:rPr>
          <w:rFonts w:ascii="Times New Roman" w:hAnsi="Times New Roman" w:eastAsia="宋体" w:cs="Times New Roman"/>
          <w:sz w:val="24"/>
          <w:szCs w:val="24"/>
        </w:rPr>
        <w:t>？社会媒体如何加速或扭曲规范的传播？</w:t>
      </w:r>
    </w:p>
    <w:p w14:paraId="29312347">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方向三：建立验证方法论标准。针对生成式ABM开发系统的验证框架，结合计算指标与人类评估，平衡模型的复杂性与可解释性。需要探索的问题包括：如何设计</w:t>
      </w:r>
      <w:r>
        <w:rPr>
          <w:rFonts w:hint="eastAsia" w:cs="Times New Roman"/>
          <w:sz w:val="24"/>
          <w:szCs w:val="24"/>
          <w:lang w:eastAsia="zh-CN"/>
        </w:rPr>
        <w:t>“</w:t>
      </w:r>
      <w:r>
        <w:rPr>
          <w:rFonts w:ascii="Times New Roman" w:hAnsi="Times New Roman" w:eastAsia="宋体" w:cs="Times New Roman"/>
          <w:sz w:val="24"/>
          <w:szCs w:val="24"/>
        </w:rPr>
        <w:t>计算图灵测试</w:t>
      </w:r>
      <w:r>
        <w:rPr>
          <w:rFonts w:hint="eastAsia" w:cs="Times New Roman"/>
          <w:sz w:val="24"/>
          <w:szCs w:val="24"/>
          <w:lang w:eastAsia="zh-CN"/>
        </w:rPr>
        <w:t>”</w:t>
      </w:r>
      <w:r>
        <w:rPr>
          <w:rFonts w:ascii="Times New Roman" w:hAnsi="Times New Roman" w:eastAsia="宋体" w:cs="Times New Roman"/>
          <w:sz w:val="24"/>
          <w:szCs w:val="24"/>
        </w:rPr>
        <w:t>评估智能体行为的真实性？如何将质性研究（如访谈、田野观察）纳入模型验证？如何建立模型共享和可复现的学术规范？</w:t>
      </w:r>
    </w:p>
    <w:p w14:paraId="3EB54642">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方向四：拓展中国情境的应用研究。将ABM应用于中国本土的集体行动问题，探索</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等文化变量的形式化表达。具体研究场景可包括：</w:t>
      </w:r>
    </w:p>
    <w:p w14:paraId="562AC39F">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农村公共事务治理：村民在农田水利、村庄道路等公共品供给中的合作行为。可探索的关键问题：家族网络结构如何影响合作？村干部的示范效应在何种条件下最为有效？可借鉴张驰等人（2021）对</w:t>
      </w:r>
      <w:r>
        <w:rPr>
          <w:rFonts w:hint="eastAsia" w:cs="Times New Roman"/>
          <w:sz w:val="24"/>
          <w:szCs w:val="24"/>
          <w:lang w:eastAsia="zh-CN"/>
        </w:rPr>
        <w:t>“</w:t>
      </w:r>
      <w:r>
        <w:rPr>
          <w:rFonts w:ascii="Times New Roman" w:hAnsi="Times New Roman" w:eastAsia="宋体" w:cs="Times New Roman"/>
          <w:sz w:val="24"/>
          <w:szCs w:val="24"/>
        </w:rPr>
        <w:t>差序格局</w:t>
      </w:r>
      <w:r>
        <w:rPr>
          <w:rFonts w:hint="eastAsia" w:cs="Times New Roman"/>
          <w:sz w:val="24"/>
          <w:szCs w:val="24"/>
          <w:lang w:eastAsia="zh-CN"/>
        </w:rPr>
        <w:t>”</w:t>
      </w:r>
      <w:r>
        <w:rPr>
          <w:rFonts w:ascii="Times New Roman" w:hAnsi="Times New Roman" w:eastAsia="宋体" w:cs="Times New Roman"/>
          <w:sz w:val="24"/>
          <w:szCs w:val="24"/>
        </w:rPr>
        <w:t>形式化的探索，将其纳入ABM模型。</w:t>
      </w:r>
    </w:p>
    <w:p w14:paraId="4DE49230">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城市社区治理：业主委员会的集体行动困境与线上社群的动员机制。可探索的问题：业主微信群的信息传播如何影响线下参与？物业服务质量监督中的“搭便车”问题如何缓解？</w:t>
      </w:r>
    </w:p>
    <w:p w14:paraId="217DF87E">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互联网平台治理：豆瓣、知乎、B站等中文社区的规范演化机制。可探索的问题：平台规则与用户自生规范如何互动？意见领袖在规范形成中扮演何种角色？可基于对知识分享行为的实证发现，尝试构建生成式ABM模型进行仿真实验。</w:t>
      </w:r>
    </w:p>
    <w:p w14:paraId="5CABEFE6">
      <w:pPr>
        <w:pStyle w:val="11"/>
        <w:keepLines w:val="0"/>
        <w:kinsoku/>
        <w:wordWrap/>
        <w:overflowPunct/>
        <w:topLinePunct w:val="0"/>
        <w:autoSpaceDE/>
        <w:autoSpaceDN/>
        <w:bidi w:val="0"/>
        <w:snapToGrid/>
        <w:spacing w:line="360" w:lineRule="auto"/>
        <w:textAlignment w:val="auto"/>
        <w:rPr>
          <w:rFonts w:hint="eastAsia"/>
        </w:rPr>
      </w:pPr>
      <w:r>
        <w:rPr>
          <w:rFonts w:ascii="Times New Roman" w:hAnsi="Times New Roman" w:eastAsia="宋体" w:cs="Times New Roman"/>
          <w:sz w:val="24"/>
          <w:szCs w:val="24"/>
        </w:rPr>
        <w:t>方向五：跨文化比较研究。比较东西方文化背景下规范演化机制的异同。可借鉴Hofstede的文化维度理论，将个人主义</w:t>
      </w:r>
      <w:r>
        <w:rPr>
          <w:rFonts w:hint="eastAsia" w:cs="Times New Roman"/>
          <w:sz w:val="24"/>
          <w:szCs w:val="24"/>
          <w:lang w:eastAsia="zh-CN"/>
        </w:rPr>
        <w:t>—</w:t>
      </w:r>
      <w:r>
        <w:rPr>
          <w:rFonts w:ascii="Times New Roman" w:hAnsi="Times New Roman" w:eastAsia="宋体" w:cs="Times New Roman"/>
          <w:sz w:val="24"/>
          <w:szCs w:val="24"/>
        </w:rPr>
        <w:t>集体主义指数、权力距离指数等纳入ABM模型，进行跨文化仿真实验。例如，可设计如下研究问题：个人主义文化与集体主义文化中的合作演化路径是否存在差异？在权力距离高的社会中，权威人物的示范效应对规范形成的影响是否更强？ABM如何建模这种文化差异？中国语境下的</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文化与西方语境下的</w:t>
      </w:r>
      <w:r>
        <w:rPr>
          <w:rFonts w:hint="eastAsia" w:cs="Times New Roman"/>
          <w:sz w:val="24"/>
          <w:szCs w:val="24"/>
          <w:lang w:eastAsia="zh-CN"/>
        </w:rPr>
        <w:t>“</w:t>
      </w:r>
      <w:r>
        <w:rPr>
          <w:rFonts w:ascii="Times New Roman" w:hAnsi="Times New Roman" w:eastAsia="宋体" w:cs="Times New Roman"/>
          <w:sz w:val="24"/>
          <w:szCs w:val="24"/>
        </w:rPr>
        <w:t>社会资本</w:t>
      </w:r>
      <w:r>
        <w:rPr>
          <w:rFonts w:hint="eastAsia" w:cs="Times New Roman"/>
          <w:sz w:val="24"/>
          <w:szCs w:val="24"/>
          <w:lang w:eastAsia="zh-CN"/>
        </w:rPr>
        <w:t>”</w:t>
      </w:r>
      <w:r>
        <w:rPr>
          <w:rFonts w:ascii="Times New Roman" w:hAnsi="Times New Roman" w:eastAsia="宋体" w:cs="Times New Roman"/>
          <w:sz w:val="24"/>
          <w:szCs w:val="24"/>
        </w:rPr>
        <w:t>概念有何异同？如何在模型中加以区分？</w:t>
      </w:r>
    </w:p>
    <w:p w14:paraId="6ED01F4F">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方向六：政策设计的</w:t>
      </w:r>
      <w:r>
        <w:rPr>
          <w:rFonts w:hint="eastAsia" w:cs="Times New Roman"/>
          <w:sz w:val="24"/>
          <w:szCs w:val="24"/>
          <w:lang w:eastAsia="zh-CN"/>
        </w:rPr>
        <w:t>“</w:t>
      </w:r>
      <w:r>
        <w:rPr>
          <w:rFonts w:ascii="Times New Roman" w:hAnsi="Times New Roman" w:eastAsia="宋体" w:cs="Times New Roman"/>
          <w:sz w:val="24"/>
          <w:szCs w:val="24"/>
        </w:rPr>
        <w:t>助推</w:t>
      </w:r>
      <w:r>
        <w:rPr>
          <w:rFonts w:hint="eastAsia" w:cs="Times New Roman"/>
          <w:sz w:val="24"/>
          <w:szCs w:val="24"/>
          <w:lang w:eastAsia="zh-CN"/>
        </w:rPr>
        <w:t>”</w:t>
      </w:r>
      <w:r>
        <w:rPr>
          <w:rFonts w:ascii="Times New Roman" w:hAnsi="Times New Roman" w:eastAsia="宋体" w:cs="Times New Roman"/>
          <w:sz w:val="24"/>
          <w:szCs w:val="24"/>
        </w:rPr>
        <w:t>应用。将ABM模拟与行为公共政策相结合，为政策设计提供</w:t>
      </w:r>
      <w:r>
        <w:rPr>
          <w:rFonts w:hint="eastAsia" w:cs="Times New Roman"/>
          <w:sz w:val="24"/>
          <w:szCs w:val="24"/>
          <w:lang w:eastAsia="zh-CN"/>
        </w:rPr>
        <w:t>“</w:t>
      </w:r>
      <w:r>
        <w:rPr>
          <w:rFonts w:ascii="Times New Roman" w:hAnsi="Times New Roman" w:eastAsia="宋体" w:cs="Times New Roman"/>
          <w:sz w:val="24"/>
          <w:szCs w:val="24"/>
        </w:rPr>
        <w:t>人工实验室</w:t>
      </w:r>
      <w:r>
        <w:rPr>
          <w:rFonts w:hint="eastAsia" w:cs="Times New Roman"/>
          <w:sz w:val="24"/>
          <w:szCs w:val="24"/>
          <w:lang w:eastAsia="zh-CN"/>
        </w:rPr>
        <w:t>”</w:t>
      </w:r>
      <w:r>
        <w:rPr>
          <w:rFonts w:ascii="Times New Roman" w:hAnsi="Times New Roman" w:eastAsia="宋体" w:cs="Times New Roman"/>
          <w:sz w:val="24"/>
          <w:szCs w:val="24"/>
        </w:rPr>
        <w:t>。例如：</w:t>
      </w:r>
    </w:p>
    <w:p w14:paraId="6326F5F6">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垃圾分类推广：模拟不同激励措施（经济补贴、社会比较、道德劝导）对居民分类行为的影响，识别最有效的干预组合。可结合中国正在推行的</w:t>
      </w:r>
      <w:r>
        <w:rPr>
          <w:rFonts w:hint="eastAsia" w:cs="Times New Roman"/>
          <w:sz w:val="24"/>
          <w:szCs w:val="24"/>
          <w:lang w:eastAsia="zh-CN"/>
        </w:rPr>
        <w:t>“</w:t>
      </w:r>
      <w:r>
        <w:rPr>
          <w:rFonts w:ascii="Times New Roman" w:hAnsi="Times New Roman" w:eastAsia="宋体" w:cs="Times New Roman"/>
          <w:sz w:val="24"/>
          <w:szCs w:val="24"/>
        </w:rPr>
        <w:t>垃圾分类重点城市</w:t>
      </w:r>
      <w:r>
        <w:rPr>
          <w:rFonts w:hint="eastAsia" w:cs="Times New Roman"/>
          <w:sz w:val="24"/>
          <w:szCs w:val="24"/>
          <w:lang w:eastAsia="zh-CN"/>
        </w:rPr>
        <w:t>”</w:t>
      </w:r>
      <w:r>
        <w:rPr>
          <w:rFonts w:ascii="Times New Roman" w:hAnsi="Times New Roman" w:eastAsia="宋体" w:cs="Times New Roman"/>
          <w:sz w:val="24"/>
          <w:szCs w:val="24"/>
        </w:rPr>
        <w:t>政策，为不同城市设计差异化的推广策略。</w:t>
      </w:r>
    </w:p>
    <w:p w14:paraId="799E630D">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公共卫生政策：模拟疫苗接种中的</w:t>
      </w:r>
      <w:r>
        <w:rPr>
          <w:rFonts w:hint="eastAsia" w:cs="Times New Roman"/>
          <w:sz w:val="24"/>
          <w:szCs w:val="24"/>
          <w:lang w:eastAsia="zh-CN"/>
        </w:rPr>
        <w:t>“</w:t>
      </w:r>
      <w:r>
        <w:rPr>
          <w:rFonts w:ascii="Times New Roman" w:hAnsi="Times New Roman" w:eastAsia="宋体" w:cs="Times New Roman"/>
          <w:sz w:val="24"/>
          <w:szCs w:val="24"/>
        </w:rPr>
        <w:t>搭便车</w:t>
      </w:r>
      <w:r>
        <w:rPr>
          <w:rFonts w:hint="eastAsia" w:cs="Times New Roman"/>
          <w:sz w:val="24"/>
          <w:szCs w:val="24"/>
          <w:lang w:eastAsia="zh-CN"/>
        </w:rPr>
        <w:t>”</w:t>
      </w:r>
      <w:r>
        <w:rPr>
          <w:rFonts w:ascii="Times New Roman" w:hAnsi="Times New Roman" w:eastAsia="宋体" w:cs="Times New Roman"/>
          <w:sz w:val="24"/>
          <w:szCs w:val="24"/>
        </w:rPr>
        <w:t>行为，评估强制接种、自愿接种+奖励、信息干预等不同策略的效果。可结合后疫情时代的公共卫生体系建设，为疫苗犹豫问题提供决策参考。</w:t>
      </w:r>
    </w:p>
    <w:p w14:paraId="689CF349">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 环境保护：模拟企业环保行为的演化，探索监管强度、公众监督、行业自律等因素的互动机制。可结合</w:t>
      </w:r>
      <w:r>
        <w:rPr>
          <w:rFonts w:hint="eastAsia" w:cs="Times New Roman"/>
          <w:sz w:val="24"/>
          <w:szCs w:val="24"/>
          <w:lang w:eastAsia="zh-CN"/>
        </w:rPr>
        <w:t>“</w:t>
      </w:r>
      <w:r>
        <w:rPr>
          <w:rFonts w:ascii="Times New Roman" w:hAnsi="Times New Roman" w:eastAsia="宋体" w:cs="Times New Roman"/>
          <w:sz w:val="24"/>
          <w:szCs w:val="24"/>
        </w:rPr>
        <w:t>双碳</w:t>
      </w:r>
      <w:r>
        <w:rPr>
          <w:rFonts w:hint="eastAsia" w:cs="Times New Roman"/>
          <w:sz w:val="24"/>
          <w:szCs w:val="24"/>
          <w:lang w:eastAsia="zh-CN"/>
        </w:rPr>
        <w:t>”</w:t>
      </w:r>
      <w:r>
        <w:rPr>
          <w:rFonts w:ascii="Times New Roman" w:hAnsi="Times New Roman" w:eastAsia="宋体" w:cs="Times New Roman"/>
          <w:sz w:val="24"/>
          <w:szCs w:val="24"/>
        </w:rPr>
        <w:t>目标，为环境规制政策的设计提供理论依据。</w:t>
      </w:r>
    </w:p>
    <w:p w14:paraId="4392F486">
      <w:pPr>
        <w:pStyle w:val="2"/>
        <w:keepNext/>
        <w:keepLines w:val="0"/>
        <w:numPr>
          <w:ilvl w:val="0"/>
          <w:numId w:val="0"/>
        </w:numPr>
        <w:kinsoku/>
        <w:wordWrap/>
        <w:overflowPunct/>
        <w:topLinePunct w:val="0"/>
        <w:autoSpaceDE/>
        <w:autoSpaceDN/>
        <w:bidi w:val="0"/>
        <w:snapToGrid/>
        <w:spacing w:line="360" w:lineRule="auto"/>
        <w:ind w:leftChars="0"/>
        <w:textAlignment w:val="auto"/>
      </w:pPr>
      <w:bookmarkStart w:id="110" w:name="_Toc16916"/>
      <w:bookmarkStart w:id="111" w:name="_Toc22795"/>
      <w:bookmarkStart w:id="112" w:name="_Toc32731"/>
      <w:bookmarkStart w:id="113" w:name="_Toc27537"/>
      <w:r>
        <w:t>六、结论与政策启示</w:t>
      </w:r>
      <w:bookmarkEnd w:id="110"/>
      <w:bookmarkEnd w:id="111"/>
      <w:bookmarkEnd w:id="112"/>
      <w:bookmarkEnd w:id="113"/>
    </w:p>
    <w:p w14:paraId="124D370F">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114" w:name="_Toc3579"/>
      <w:bookmarkStart w:id="115" w:name="_Toc6133"/>
      <w:bookmarkStart w:id="116" w:name="_Toc26086"/>
      <w:bookmarkStart w:id="117" w:name="_Toc8715"/>
      <w:r>
        <w:rPr>
          <w:rFonts w:hint="eastAsia"/>
          <w:b w:val="0"/>
          <w:bCs w:val="0"/>
          <w:lang w:val="en-US" w:eastAsia="zh-CN"/>
        </w:rPr>
        <w:t>6</w:t>
      </w:r>
      <w:r>
        <w:rPr>
          <w:rFonts w:hint="eastAsia"/>
          <w:b w:val="0"/>
          <w:bCs w:val="0"/>
          <w:lang w:eastAsia="zh-CN"/>
        </w:rPr>
        <w:t xml:space="preserve">.1 </w:t>
      </w:r>
      <w:r>
        <w:rPr>
          <w:b w:val="0"/>
          <w:bCs w:val="0"/>
        </w:rPr>
        <w:t>研究结论</w:t>
      </w:r>
      <w:bookmarkEnd w:id="114"/>
      <w:bookmarkEnd w:id="115"/>
      <w:bookmarkEnd w:id="116"/>
      <w:bookmarkEnd w:id="117"/>
    </w:p>
    <w:p w14:paraId="3443FE5B">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基于主体建模为理解社会规范与集体行动提供了独特的</w:t>
      </w:r>
      <w:r>
        <w:rPr>
          <w:rFonts w:hint="eastAsia" w:cs="Times New Roman"/>
          <w:sz w:val="24"/>
          <w:szCs w:val="24"/>
          <w:lang w:eastAsia="zh-CN"/>
        </w:rPr>
        <w:t>“</w:t>
      </w:r>
      <w:r>
        <w:rPr>
          <w:rFonts w:ascii="Times New Roman" w:hAnsi="Times New Roman" w:eastAsia="宋体" w:cs="Times New Roman"/>
          <w:sz w:val="24"/>
          <w:szCs w:val="24"/>
        </w:rPr>
        <w:t>人工实验室</w:t>
      </w:r>
      <w:r>
        <w:rPr>
          <w:rFonts w:hint="eastAsia" w:cs="Times New Roman"/>
          <w:sz w:val="24"/>
          <w:szCs w:val="24"/>
          <w:lang w:eastAsia="zh-CN"/>
        </w:rPr>
        <w:t>”</w:t>
      </w:r>
      <w:r>
        <w:rPr>
          <w:rFonts w:ascii="Times New Roman" w:hAnsi="Times New Roman" w:eastAsia="宋体" w:cs="Times New Roman"/>
          <w:sz w:val="24"/>
          <w:szCs w:val="24"/>
        </w:rPr>
        <w:t>方法。从谢林隔离模型到博弈论路径，从社会</w:t>
      </w:r>
      <w:r>
        <w:rPr>
          <w:rFonts w:hint="eastAsia" w:cs="Times New Roman"/>
          <w:sz w:val="24"/>
          <w:szCs w:val="24"/>
          <w:lang w:eastAsia="zh-CN"/>
        </w:rPr>
        <w:t>—</w:t>
      </w:r>
      <w:r>
        <w:rPr>
          <w:rFonts w:ascii="Times New Roman" w:hAnsi="Times New Roman" w:eastAsia="宋体" w:cs="Times New Roman"/>
          <w:sz w:val="24"/>
          <w:szCs w:val="24"/>
        </w:rPr>
        <w:t>生态系统建模到生成式ABM，该领域已形成丰富的理论积累和方法论探索。然而，行为理论的浅层整合、验证标准的薄弱以及大语言模型带来的新挑战，仍是制约其科学贡献的关键障碍。</w:t>
      </w:r>
    </w:p>
    <w:p w14:paraId="08074AA6">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对于中国公共管理研究而言，ABM的本土化应用既充满机遇也面临挑战。一方面，中国社会的关系取向、集体主义传统和快速数字化转型，为ABM提供了丰富的研究场景和独特的问题意识；另一方面，</w:t>
      </w:r>
      <w:r>
        <w:rPr>
          <w:rFonts w:hint="eastAsia" w:cs="Times New Roman"/>
          <w:sz w:val="24"/>
          <w:szCs w:val="24"/>
          <w:lang w:eastAsia="zh-CN"/>
        </w:rPr>
        <w:t>“</w:t>
      </w:r>
      <w:r>
        <w:rPr>
          <w:rFonts w:ascii="Times New Roman" w:hAnsi="Times New Roman" w:eastAsia="宋体" w:cs="Times New Roman"/>
          <w:sz w:val="24"/>
          <w:szCs w:val="24"/>
        </w:rPr>
        <w:t>关系</w:t>
      </w:r>
      <w:r>
        <w:rPr>
          <w:rFonts w:hint="eastAsia" w:cs="Times New Roman"/>
          <w:sz w:val="24"/>
          <w:szCs w:val="24"/>
          <w:lang w:eastAsia="zh-CN"/>
        </w:rPr>
        <w:t>”“</w:t>
      </w:r>
      <w:r>
        <w:rPr>
          <w:rFonts w:ascii="Times New Roman" w:hAnsi="Times New Roman" w:eastAsia="宋体" w:cs="Times New Roman"/>
          <w:sz w:val="24"/>
          <w:szCs w:val="24"/>
        </w:rPr>
        <w:t>面子</w:t>
      </w:r>
      <w:r>
        <w:rPr>
          <w:rFonts w:hint="eastAsia" w:cs="Times New Roman"/>
          <w:sz w:val="24"/>
          <w:szCs w:val="24"/>
          <w:lang w:eastAsia="zh-CN"/>
        </w:rPr>
        <w:t>”</w:t>
      </w:r>
      <w:r>
        <w:rPr>
          <w:rFonts w:ascii="Times New Roman" w:hAnsi="Times New Roman" w:eastAsia="宋体" w:cs="Times New Roman"/>
          <w:sz w:val="24"/>
          <w:szCs w:val="24"/>
        </w:rPr>
        <w:t>等本土概念的形式化、生成式ABM的价值观偏差、数字鸿沟的建模等问题的处理，需要研究者付出审慎的理论努力。近年来，国内学者在</w:t>
      </w:r>
      <w:r>
        <w:rPr>
          <w:rFonts w:hint="eastAsia" w:cs="Times New Roman"/>
          <w:sz w:val="24"/>
          <w:szCs w:val="24"/>
          <w:lang w:eastAsia="zh-CN"/>
        </w:rPr>
        <w:t>“</w:t>
      </w:r>
      <w:r>
        <w:rPr>
          <w:rFonts w:ascii="Times New Roman" w:hAnsi="Times New Roman" w:eastAsia="宋体" w:cs="Times New Roman"/>
          <w:sz w:val="24"/>
          <w:szCs w:val="24"/>
        </w:rPr>
        <w:t>差序格局</w:t>
      </w:r>
      <w:r>
        <w:rPr>
          <w:rFonts w:hint="eastAsia" w:cs="Times New Roman"/>
          <w:sz w:val="24"/>
          <w:szCs w:val="24"/>
          <w:lang w:eastAsia="zh-CN"/>
        </w:rPr>
        <w:t>”</w:t>
      </w:r>
      <w:r>
        <w:rPr>
          <w:rFonts w:ascii="Times New Roman" w:hAnsi="Times New Roman" w:eastAsia="宋体" w:cs="Times New Roman"/>
          <w:sz w:val="24"/>
          <w:szCs w:val="24"/>
        </w:rPr>
        <w:t>形式化、互联网平台用户行为等领域的探索，为后续研究奠定了初步基础。</w:t>
      </w:r>
    </w:p>
    <w:p w14:paraId="2B92DF21">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118" w:name="_Toc2438"/>
      <w:bookmarkStart w:id="119" w:name="_Toc16442"/>
      <w:bookmarkStart w:id="120" w:name="_Toc28688"/>
      <w:bookmarkStart w:id="121" w:name="_Toc17322"/>
      <w:r>
        <w:rPr>
          <w:rFonts w:hint="eastAsia"/>
          <w:b w:val="0"/>
          <w:bCs w:val="0"/>
          <w:lang w:val="en-US" w:eastAsia="zh-CN"/>
        </w:rPr>
        <w:t>6</w:t>
      </w:r>
      <w:r>
        <w:rPr>
          <w:rFonts w:hint="eastAsia"/>
          <w:b w:val="0"/>
          <w:bCs w:val="0"/>
          <w:lang w:eastAsia="zh-CN"/>
        </w:rPr>
        <w:t xml:space="preserve">.2 </w:t>
      </w:r>
      <w:r>
        <w:rPr>
          <w:b w:val="0"/>
          <w:bCs w:val="0"/>
        </w:rPr>
        <w:t>政策启示</w:t>
      </w:r>
      <w:bookmarkEnd w:id="118"/>
      <w:bookmarkEnd w:id="119"/>
      <w:bookmarkEnd w:id="120"/>
      <w:bookmarkEnd w:id="121"/>
    </w:p>
    <w:p w14:paraId="00527951">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ABM研究不仅具有理论价值，也能为公共管理实践提供决策参考：</w:t>
      </w:r>
    </w:p>
    <w:p w14:paraId="3AFF3DB9">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第一，对社区治理的政策启示。ABM模拟表明，在异质性群体中促进合作，不宜采用</w:t>
      </w:r>
      <w:r>
        <w:rPr>
          <w:rFonts w:hint="eastAsia" w:cs="Times New Roman"/>
          <w:sz w:val="24"/>
          <w:szCs w:val="24"/>
          <w:lang w:eastAsia="zh-CN"/>
        </w:rPr>
        <w:t>“</w:t>
      </w:r>
      <w:r>
        <w:rPr>
          <w:rFonts w:ascii="Times New Roman" w:hAnsi="Times New Roman" w:eastAsia="宋体" w:cs="Times New Roman"/>
          <w:sz w:val="24"/>
          <w:szCs w:val="24"/>
        </w:rPr>
        <w:t>一刀切</w:t>
      </w:r>
      <w:r>
        <w:rPr>
          <w:rFonts w:hint="eastAsia" w:cs="Times New Roman"/>
          <w:sz w:val="24"/>
          <w:szCs w:val="24"/>
          <w:lang w:eastAsia="zh-CN"/>
        </w:rPr>
        <w:t>”</w:t>
      </w:r>
      <w:r>
        <w:rPr>
          <w:rFonts w:ascii="Times New Roman" w:hAnsi="Times New Roman" w:eastAsia="宋体" w:cs="Times New Roman"/>
          <w:sz w:val="24"/>
          <w:szCs w:val="24"/>
        </w:rPr>
        <w:t>的政策设计。社区治理应考虑居民的差异化动机</w:t>
      </w:r>
      <w:r>
        <w:rPr>
          <w:rFonts w:hint="eastAsia" w:cs="Times New Roman"/>
          <w:sz w:val="24"/>
          <w:szCs w:val="24"/>
          <w:lang w:eastAsia="zh-CN"/>
        </w:rPr>
        <w:t>——</w:t>
      </w:r>
      <w:r>
        <w:rPr>
          <w:rFonts w:ascii="Times New Roman" w:hAnsi="Times New Roman" w:eastAsia="宋体" w:cs="Times New Roman"/>
          <w:sz w:val="24"/>
          <w:szCs w:val="24"/>
        </w:rPr>
        <w:t>对</w:t>
      </w:r>
      <w:r>
        <w:rPr>
          <w:rFonts w:hint="eastAsia" w:cs="Times New Roman"/>
          <w:sz w:val="24"/>
          <w:szCs w:val="24"/>
          <w:lang w:eastAsia="zh-CN"/>
        </w:rPr>
        <w:t>“</w:t>
      </w:r>
      <w:r>
        <w:rPr>
          <w:rFonts w:ascii="Times New Roman" w:hAnsi="Times New Roman" w:eastAsia="宋体" w:cs="Times New Roman"/>
          <w:sz w:val="24"/>
          <w:szCs w:val="24"/>
        </w:rPr>
        <w:t>利他型</w:t>
      </w:r>
      <w:r>
        <w:rPr>
          <w:rFonts w:hint="eastAsia" w:cs="Times New Roman"/>
          <w:sz w:val="24"/>
          <w:szCs w:val="24"/>
          <w:lang w:eastAsia="zh-CN"/>
        </w:rPr>
        <w:t>”</w:t>
      </w:r>
      <w:r>
        <w:rPr>
          <w:rFonts w:ascii="Times New Roman" w:hAnsi="Times New Roman" w:eastAsia="宋体" w:cs="Times New Roman"/>
          <w:sz w:val="24"/>
          <w:szCs w:val="24"/>
        </w:rPr>
        <w:t>居民，道德劝导可能有效；对</w:t>
      </w:r>
      <w:r>
        <w:rPr>
          <w:rFonts w:hint="eastAsia" w:cs="Times New Roman"/>
          <w:sz w:val="24"/>
          <w:szCs w:val="24"/>
          <w:lang w:eastAsia="zh-CN"/>
        </w:rPr>
        <w:t>“</w:t>
      </w:r>
      <w:r>
        <w:rPr>
          <w:rFonts w:ascii="Times New Roman" w:hAnsi="Times New Roman" w:eastAsia="宋体" w:cs="Times New Roman"/>
          <w:sz w:val="24"/>
          <w:szCs w:val="24"/>
        </w:rPr>
        <w:t>理性型</w:t>
      </w:r>
      <w:r>
        <w:rPr>
          <w:rFonts w:hint="eastAsia" w:cs="Times New Roman"/>
          <w:sz w:val="24"/>
          <w:szCs w:val="24"/>
          <w:lang w:eastAsia="zh-CN"/>
        </w:rPr>
        <w:t>”</w:t>
      </w:r>
      <w:r>
        <w:rPr>
          <w:rFonts w:ascii="Times New Roman" w:hAnsi="Times New Roman" w:eastAsia="宋体" w:cs="Times New Roman"/>
          <w:sz w:val="24"/>
          <w:szCs w:val="24"/>
        </w:rPr>
        <w:t>居民，经济激励更为直接；对</w:t>
      </w:r>
      <w:r>
        <w:rPr>
          <w:rFonts w:hint="eastAsia" w:cs="Times New Roman"/>
          <w:sz w:val="24"/>
          <w:szCs w:val="24"/>
          <w:lang w:eastAsia="zh-CN"/>
        </w:rPr>
        <w:t>“</w:t>
      </w:r>
      <w:r>
        <w:rPr>
          <w:rFonts w:ascii="Times New Roman" w:hAnsi="Times New Roman" w:eastAsia="宋体" w:cs="Times New Roman"/>
          <w:sz w:val="24"/>
          <w:szCs w:val="24"/>
        </w:rPr>
        <w:t>从众型</w:t>
      </w:r>
      <w:r>
        <w:rPr>
          <w:rFonts w:hint="eastAsia" w:cs="Times New Roman"/>
          <w:sz w:val="24"/>
          <w:szCs w:val="24"/>
          <w:lang w:eastAsia="zh-CN"/>
        </w:rPr>
        <w:t>”</w:t>
      </w:r>
      <w:r>
        <w:rPr>
          <w:rFonts w:ascii="Times New Roman" w:hAnsi="Times New Roman" w:eastAsia="宋体" w:cs="Times New Roman"/>
          <w:sz w:val="24"/>
          <w:szCs w:val="24"/>
        </w:rPr>
        <w:t>居民，社会比较信息的披露可能事半功倍。ABM可以帮助政策制定者在实施前预判不同组合策略的效果。结合当前中国正在推行的</w:t>
      </w:r>
      <w:r>
        <w:rPr>
          <w:rFonts w:hint="eastAsia" w:cs="Times New Roman"/>
          <w:sz w:val="24"/>
          <w:szCs w:val="24"/>
          <w:lang w:eastAsia="zh-CN"/>
        </w:rPr>
        <w:t>“</w:t>
      </w:r>
      <w:r>
        <w:rPr>
          <w:rFonts w:ascii="Times New Roman" w:hAnsi="Times New Roman" w:eastAsia="宋体" w:cs="Times New Roman"/>
          <w:sz w:val="24"/>
          <w:szCs w:val="24"/>
        </w:rPr>
        <w:t>完整社区</w:t>
      </w:r>
      <w:r>
        <w:rPr>
          <w:rFonts w:hint="eastAsia" w:cs="Times New Roman"/>
          <w:sz w:val="24"/>
          <w:szCs w:val="24"/>
          <w:lang w:eastAsia="zh-CN"/>
        </w:rPr>
        <w:t>”</w:t>
      </w:r>
      <w:r>
        <w:rPr>
          <w:rFonts w:ascii="Times New Roman" w:hAnsi="Times New Roman" w:eastAsia="宋体" w:cs="Times New Roman"/>
          <w:sz w:val="24"/>
          <w:szCs w:val="24"/>
        </w:rPr>
        <w:t>建设和老旧小区改造，ABM模拟可以为不同社区类型（如单位制社区、商品房社区、保障房社区）设计差异化的治理策略。例如，在业主异质性高的商品房社区，可重点探索线上社群的动员机制；在熟人关系较强的老旧小区，可关注楼门长、老党员等关键人物的示范效应。</w:t>
      </w:r>
    </w:p>
    <w:p w14:paraId="22299C30">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第二，对数字社会治理的政策启示。生成式ABM的兴起意味着，未来的社会规范可能在人机互动中动态演化。政策制定者需要关注大模型智能体对用户行为的影响</w:t>
      </w:r>
      <w:r>
        <w:rPr>
          <w:rFonts w:hint="eastAsia" w:cs="Times New Roman"/>
          <w:sz w:val="24"/>
          <w:szCs w:val="24"/>
          <w:lang w:eastAsia="zh-CN"/>
        </w:rPr>
        <w:t>——</w:t>
      </w:r>
      <w:r>
        <w:rPr>
          <w:rFonts w:ascii="Times New Roman" w:hAnsi="Times New Roman" w:eastAsia="宋体" w:cs="Times New Roman"/>
          <w:sz w:val="24"/>
          <w:szCs w:val="24"/>
        </w:rPr>
        <w:t>当AI助手成为日常对话者，其内嵌的价值观可能潜移默化地塑造用户的社会规范认知。这要求对公共服务领域的大模型应用进行审慎的伦理评估。结合《数据安全法》《个人信息保护法》等法律法规，政策制定者应明确生成式ABM在公共部门应用中的数据合规要求，防止算法偏见和隐私侵犯。同时，应鼓励开源模型的开发和应用，降低对商业API的依赖，增强算法透明度。</w:t>
      </w:r>
    </w:p>
    <w:p w14:paraId="55238CEE">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第三，对弱势群体保护的政策启示。ABM研究中</w:t>
      </w:r>
      <w:r>
        <w:rPr>
          <w:rFonts w:hint="eastAsia" w:cs="Times New Roman"/>
          <w:sz w:val="24"/>
          <w:szCs w:val="24"/>
          <w:lang w:eastAsia="zh-CN"/>
        </w:rPr>
        <w:t>“</w:t>
      </w:r>
      <w:r>
        <w:rPr>
          <w:rFonts w:ascii="Times New Roman" w:hAnsi="Times New Roman" w:eastAsia="宋体" w:cs="Times New Roman"/>
          <w:sz w:val="24"/>
          <w:szCs w:val="24"/>
        </w:rPr>
        <w:t>谁被模拟、谁被忽略</w:t>
      </w:r>
      <w:r>
        <w:rPr>
          <w:rFonts w:hint="eastAsia" w:cs="Times New Roman"/>
          <w:sz w:val="24"/>
          <w:szCs w:val="24"/>
          <w:lang w:eastAsia="zh-CN"/>
        </w:rPr>
        <w:t>”</w:t>
      </w:r>
      <w:r>
        <w:rPr>
          <w:rFonts w:ascii="Times New Roman" w:hAnsi="Times New Roman" w:eastAsia="宋体" w:cs="Times New Roman"/>
          <w:sz w:val="24"/>
          <w:szCs w:val="24"/>
        </w:rPr>
        <w:t>的问题，同样存在于政策制定过程中。数字鸿沟的存在意味着，依赖互联网数据的政策分析可能系统性忽略农村居民、老年人、低收入群体的需求。政策制定者应有意识地补充传统调研方法，确保这些群体的声音被听见。例如，在智慧社区建设中，不能只关注年轻居民的使用体验，而应通过入户访谈、焦点小组等方式了解老年人的需求，设计包容性的数字化服务。ABM模型在构建智能体时应有意纳入边缘群体的行为模式，避免</w:t>
      </w:r>
      <w:r>
        <w:rPr>
          <w:rFonts w:hint="eastAsia" w:cs="Times New Roman"/>
          <w:sz w:val="24"/>
          <w:szCs w:val="24"/>
          <w:lang w:eastAsia="zh-CN"/>
        </w:rPr>
        <w:t>“</w:t>
      </w:r>
      <w:r>
        <w:rPr>
          <w:rFonts w:ascii="Times New Roman" w:hAnsi="Times New Roman" w:eastAsia="宋体" w:cs="Times New Roman"/>
          <w:sz w:val="24"/>
          <w:szCs w:val="24"/>
        </w:rPr>
        <w:t>典型用户</w:t>
      </w:r>
      <w:r>
        <w:rPr>
          <w:rFonts w:hint="eastAsia" w:cs="Times New Roman"/>
          <w:sz w:val="24"/>
          <w:szCs w:val="24"/>
          <w:lang w:eastAsia="zh-CN"/>
        </w:rPr>
        <w:t>”</w:t>
      </w:r>
      <w:r>
        <w:rPr>
          <w:rFonts w:ascii="Times New Roman" w:hAnsi="Times New Roman" w:eastAsia="宋体" w:cs="Times New Roman"/>
          <w:sz w:val="24"/>
          <w:szCs w:val="24"/>
        </w:rPr>
        <w:t>偏差。</w:t>
      </w:r>
    </w:p>
    <w:p w14:paraId="4C966F4F">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第四，对政策试验的方法论启示。ABM作为</w:t>
      </w:r>
      <w:r>
        <w:rPr>
          <w:rFonts w:hint="eastAsia" w:cs="Times New Roman"/>
          <w:sz w:val="24"/>
          <w:szCs w:val="24"/>
          <w:lang w:eastAsia="zh-CN"/>
        </w:rPr>
        <w:t>“</w:t>
      </w:r>
      <w:r>
        <w:rPr>
          <w:rFonts w:ascii="Times New Roman" w:hAnsi="Times New Roman" w:eastAsia="宋体" w:cs="Times New Roman"/>
          <w:sz w:val="24"/>
          <w:szCs w:val="24"/>
        </w:rPr>
        <w:t>人工实验室</w:t>
      </w:r>
      <w:r>
        <w:rPr>
          <w:rFonts w:hint="eastAsia" w:cs="Times New Roman"/>
          <w:sz w:val="24"/>
          <w:szCs w:val="24"/>
          <w:lang w:eastAsia="zh-CN"/>
        </w:rPr>
        <w:t>”</w:t>
      </w:r>
      <w:r>
        <w:rPr>
          <w:rFonts w:ascii="Times New Roman" w:hAnsi="Times New Roman" w:eastAsia="宋体" w:cs="Times New Roman"/>
          <w:sz w:val="24"/>
          <w:szCs w:val="24"/>
        </w:rPr>
        <w:t>，可以在真实世界试验之前预判政策效果、识别潜在风险。但这不意味着ABM可以替代真实试验。理想的政策制定流程应是：ABM模拟提出假设→小规模实地试验验证→大规模推广实施。这种</w:t>
      </w:r>
      <w:r>
        <w:rPr>
          <w:rFonts w:hint="eastAsia" w:cs="Times New Roman"/>
          <w:sz w:val="24"/>
          <w:szCs w:val="24"/>
          <w:lang w:eastAsia="zh-CN"/>
        </w:rPr>
        <w:t>“</w:t>
      </w:r>
      <w:r>
        <w:rPr>
          <w:rFonts w:ascii="Times New Roman" w:hAnsi="Times New Roman" w:eastAsia="宋体" w:cs="Times New Roman"/>
          <w:sz w:val="24"/>
          <w:szCs w:val="24"/>
        </w:rPr>
        <w:t>模拟</w:t>
      </w:r>
      <w:r>
        <w:rPr>
          <w:rFonts w:hint="eastAsia" w:cs="Times New Roman"/>
          <w:sz w:val="24"/>
          <w:szCs w:val="24"/>
          <w:lang w:eastAsia="zh-CN"/>
        </w:rPr>
        <w:t>—</w:t>
      </w:r>
      <w:r>
        <w:rPr>
          <w:rFonts w:ascii="Times New Roman" w:hAnsi="Times New Roman" w:eastAsia="宋体" w:cs="Times New Roman"/>
          <w:sz w:val="24"/>
          <w:szCs w:val="24"/>
        </w:rPr>
        <w:t>试验</w:t>
      </w:r>
      <w:r>
        <w:rPr>
          <w:rFonts w:hint="eastAsia" w:cs="Times New Roman"/>
          <w:sz w:val="24"/>
          <w:szCs w:val="24"/>
          <w:lang w:eastAsia="zh-CN"/>
        </w:rPr>
        <w:t>—</w:t>
      </w:r>
      <w:r>
        <w:rPr>
          <w:rFonts w:ascii="Times New Roman" w:hAnsi="Times New Roman" w:eastAsia="宋体" w:cs="Times New Roman"/>
          <w:sz w:val="24"/>
          <w:szCs w:val="24"/>
        </w:rPr>
        <w:t>推广</w:t>
      </w:r>
      <w:r>
        <w:rPr>
          <w:rFonts w:hint="eastAsia" w:cs="Times New Roman"/>
          <w:sz w:val="24"/>
          <w:szCs w:val="24"/>
          <w:lang w:eastAsia="zh-CN"/>
        </w:rPr>
        <w:t>”</w:t>
      </w:r>
      <w:r>
        <w:rPr>
          <w:rFonts w:ascii="Times New Roman" w:hAnsi="Times New Roman" w:eastAsia="宋体" w:cs="Times New Roman"/>
          <w:sz w:val="24"/>
          <w:szCs w:val="24"/>
        </w:rPr>
        <w:t>的闭环，有助于降低政策试错成本。例如，在垃圾分类政策推广中，可先在ABM模型中模拟不同激励策略的效果，选择最有潜力的2</w:t>
      </w:r>
      <w:r>
        <w:rPr>
          <w:rFonts w:hint="eastAsia" w:cs="Times New Roman"/>
          <w:sz w:val="24"/>
          <w:szCs w:val="24"/>
          <w:lang w:eastAsia="zh-CN"/>
        </w:rPr>
        <w:t>—</w:t>
      </w:r>
      <w:r>
        <w:rPr>
          <w:rFonts w:ascii="Times New Roman" w:hAnsi="Times New Roman" w:eastAsia="宋体" w:cs="Times New Roman"/>
          <w:sz w:val="24"/>
          <w:szCs w:val="24"/>
        </w:rPr>
        <w:t>3种策略在少数社区进行实地试验，验证有效后再向全市推广。这种</w:t>
      </w:r>
      <w:r>
        <w:rPr>
          <w:rFonts w:hint="eastAsia" w:cs="Times New Roman"/>
          <w:sz w:val="24"/>
          <w:szCs w:val="24"/>
          <w:lang w:eastAsia="zh-CN"/>
        </w:rPr>
        <w:t>“</w:t>
      </w:r>
      <w:r>
        <w:rPr>
          <w:rFonts w:ascii="Times New Roman" w:hAnsi="Times New Roman" w:eastAsia="宋体" w:cs="Times New Roman"/>
          <w:sz w:val="24"/>
          <w:szCs w:val="24"/>
        </w:rPr>
        <w:t>模拟先行、试验跟进</w:t>
      </w:r>
      <w:r>
        <w:rPr>
          <w:rFonts w:hint="eastAsia" w:cs="Times New Roman"/>
          <w:sz w:val="24"/>
          <w:szCs w:val="24"/>
          <w:lang w:eastAsia="zh-CN"/>
        </w:rPr>
        <w:t>”</w:t>
      </w:r>
      <w:r>
        <w:rPr>
          <w:rFonts w:ascii="Times New Roman" w:hAnsi="Times New Roman" w:eastAsia="宋体" w:cs="Times New Roman"/>
          <w:sz w:val="24"/>
          <w:szCs w:val="24"/>
        </w:rPr>
        <w:t>的方法，已在</w:t>
      </w:r>
      <w:r>
        <w:rPr>
          <w:rFonts w:hint="eastAsia" w:ascii="Times New Roman" w:hAnsi="Times New Roman" w:eastAsia="宋体" w:cs="Times New Roman"/>
          <w:sz w:val="24"/>
          <w:szCs w:val="24"/>
        </w:rPr>
        <w:t>Zhang S</w:t>
      </w:r>
      <w:r>
        <w:rPr>
          <w:rFonts w:ascii="Times New Roman" w:hAnsi="Times New Roman" w:eastAsia="宋体" w:cs="Times New Roman"/>
          <w:sz w:val="24"/>
          <w:szCs w:val="24"/>
        </w:rPr>
        <w:t>等人（2026）的研究中得到初步应用。</w:t>
      </w:r>
    </w:p>
    <w:p w14:paraId="3BAC11E6">
      <w:pPr>
        <w:pStyle w:val="3"/>
        <w:keepNext/>
        <w:keepLines w:val="0"/>
        <w:numPr>
          <w:ilvl w:val="0"/>
          <w:numId w:val="0"/>
        </w:numPr>
        <w:kinsoku/>
        <w:wordWrap/>
        <w:overflowPunct/>
        <w:topLinePunct w:val="0"/>
        <w:autoSpaceDE/>
        <w:autoSpaceDN/>
        <w:bidi w:val="0"/>
        <w:snapToGrid/>
        <w:spacing w:line="360" w:lineRule="auto"/>
        <w:ind w:leftChars="0"/>
        <w:textAlignment w:val="auto"/>
        <w:rPr>
          <w:rFonts w:hint="eastAsia" w:ascii="黑体" w:hAnsi="黑体" w:eastAsia="黑体" w:cs="黑体"/>
          <w:b w:val="0"/>
          <w:bCs w:val="0"/>
        </w:rPr>
      </w:pPr>
      <w:bookmarkStart w:id="122" w:name="_Toc24337"/>
      <w:bookmarkStart w:id="123" w:name="_Toc31056"/>
      <w:bookmarkStart w:id="124" w:name="_Toc14944"/>
      <w:bookmarkStart w:id="125" w:name="_Toc5592"/>
      <w:r>
        <w:rPr>
          <w:rFonts w:hint="eastAsia"/>
          <w:b w:val="0"/>
          <w:bCs w:val="0"/>
          <w:lang w:val="en-US" w:eastAsia="zh-CN"/>
        </w:rPr>
        <w:t>6</w:t>
      </w:r>
      <w:r>
        <w:rPr>
          <w:rFonts w:hint="eastAsia"/>
          <w:b w:val="0"/>
          <w:bCs w:val="0"/>
          <w:lang w:eastAsia="zh-CN"/>
        </w:rPr>
        <w:t xml:space="preserve">.3 </w:t>
      </w:r>
      <w:r>
        <w:rPr>
          <w:b w:val="0"/>
          <w:bCs w:val="0"/>
        </w:rPr>
        <w:t>未来展望</w:t>
      </w:r>
      <w:bookmarkEnd w:id="122"/>
      <w:bookmarkEnd w:id="123"/>
      <w:bookmarkEnd w:id="124"/>
      <w:bookmarkEnd w:id="125"/>
    </w:p>
    <w:p w14:paraId="079A731C">
      <w:pPr>
        <w:pStyle w:val="11"/>
        <w:keepLines w:val="0"/>
        <w:kinsoku/>
        <w:wordWrap/>
        <w:overflowPunct/>
        <w:topLinePunct w:val="0"/>
        <w:autoSpaceDE/>
        <w:autoSpaceDN/>
        <w:bidi w:val="0"/>
        <w:snapToGrid/>
        <w:spacing w:line="360" w:lineRule="auto"/>
        <w:textAlignment w:val="auto"/>
        <w:rPr>
          <w:rFonts w:ascii="Times New Roman" w:hAnsi="Times New Roman" w:eastAsia="宋体" w:cs="Times New Roman"/>
          <w:sz w:val="24"/>
          <w:szCs w:val="24"/>
        </w:rPr>
      </w:pPr>
      <w:r>
        <w:rPr>
          <w:rFonts w:ascii="Times New Roman" w:hAnsi="Times New Roman" w:eastAsia="宋体" w:cs="Times New Roman"/>
          <w:sz w:val="24"/>
          <w:szCs w:val="24"/>
        </w:rPr>
        <w:t>未来研究需在多学科融合、动态规范建模、验证方法标准化、跨文化比较等方面持续精进。唯有如此，才能推动ABM真正成为公共管理领域可靠的理论建构与政策评估工具。正如Epstein所言，生成社会科学的核心承诺在于：如果你不能</w:t>
      </w:r>
      <w:r>
        <w:rPr>
          <w:rFonts w:hint="eastAsia" w:cs="Times New Roman"/>
          <w:sz w:val="24"/>
          <w:szCs w:val="24"/>
          <w:lang w:eastAsia="zh-CN"/>
        </w:rPr>
        <w:t>“</w:t>
      </w:r>
      <w:r>
        <w:rPr>
          <w:rFonts w:ascii="Times New Roman" w:hAnsi="Times New Roman" w:eastAsia="宋体" w:cs="Times New Roman"/>
          <w:sz w:val="24"/>
          <w:szCs w:val="24"/>
        </w:rPr>
        <w:t>生长</w:t>
      </w:r>
      <w:r>
        <w:rPr>
          <w:rFonts w:hint="eastAsia" w:cs="Times New Roman"/>
          <w:sz w:val="24"/>
          <w:szCs w:val="24"/>
          <w:lang w:eastAsia="zh-CN"/>
        </w:rPr>
        <w:t>”</w:t>
      </w:r>
      <w:r>
        <w:rPr>
          <w:rFonts w:ascii="Times New Roman" w:hAnsi="Times New Roman" w:eastAsia="宋体" w:cs="Times New Roman"/>
          <w:sz w:val="24"/>
          <w:szCs w:val="24"/>
        </w:rPr>
        <w:t>出它，你就还没有真正理解它。这一承诺的实现，有赖于方法论的持续精进、多学科的协同努力，以及对本土情境的深切关怀。</w:t>
      </w:r>
    </w:p>
    <w:p w14:paraId="68F3C396">
      <w:pPr>
        <w:keepLines w:val="0"/>
        <w:kinsoku/>
        <w:wordWrap/>
        <w:overflowPunct/>
        <w:topLinePunct w:val="0"/>
        <w:autoSpaceDE/>
        <w:autoSpaceDN/>
        <w:bidi w:val="0"/>
        <w:snapToGrid/>
        <w:spacing w:line="360" w:lineRule="auto"/>
        <w:textAlignment w:val="auto"/>
      </w:pPr>
    </w:p>
    <w:p w14:paraId="4E3FC669">
      <w:pPr>
        <w:keepLines w:val="0"/>
        <w:kinsoku/>
        <w:wordWrap/>
        <w:overflowPunct/>
        <w:topLinePunct w:val="0"/>
        <w:autoSpaceDE/>
        <w:autoSpaceDN/>
        <w:bidi w:val="0"/>
        <w:snapToGrid/>
        <w:spacing w:line="360" w:lineRule="auto"/>
        <w:textAlignment w:val="auto"/>
        <w:outlineLvl w:val="0"/>
        <w:rPr>
          <w:rFonts w:hint="eastAsia" w:ascii="黑体" w:hAnsi="黑体" w:eastAsia="黑体" w:cs="黑体"/>
          <w:sz w:val="28"/>
          <w:szCs w:val="28"/>
          <w:lang w:eastAsia="zh-CN"/>
        </w:rPr>
      </w:pPr>
      <w:bookmarkStart w:id="126" w:name="_Toc21902"/>
      <w:bookmarkStart w:id="127" w:name="_Toc2040"/>
      <w:bookmarkStart w:id="128" w:name="_Toc10138"/>
      <w:r>
        <w:rPr>
          <w:rFonts w:hint="eastAsia" w:ascii="黑体" w:hAnsi="黑体" w:eastAsia="黑体" w:cs="黑体"/>
          <w:sz w:val="28"/>
          <w:szCs w:val="28"/>
        </w:rPr>
        <w:t>参考文献</w:t>
      </w:r>
      <w:r>
        <w:rPr>
          <w:rFonts w:hint="eastAsia" w:ascii="黑体" w:hAnsi="黑体" w:eastAsia="黑体" w:cs="黑体"/>
          <w:sz w:val="28"/>
          <w:szCs w:val="28"/>
          <w:lang w:eastAsia="zh-CN"/>
        </w:rPr>
        <w:t>：</w:t>
      </w:r>
      <w:bookmarkEnd w:id="126"/>
      <w:bookmarkEnd w:id="127"/>
      <w:bookmarkEnd w:id="128"/>
    </w:p>
    <w:p w14:paraId="2DC70061">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[1]</w:t>
      </w:r>
      <w:r>
        <w:rPr>
          <w:rFonts w:hint="eastAsia"/>
          <w:shd w:val="clear" w:color="auto" w:fill="auto"/>
          <w:lang w:eastAsia="zh-CN"/>
        </w:rPr>
        <w:tab/>
      </w:r>
      <w:r>
        <w:rPr>
          <w:shd w:val="clear" w:color="auto" w:fill="auto"/>
        </w:rPr>
        <w:t>Epstein J M. Agent-based computational models and generative social science[J]. Complexity, 1999, 4(5): 41-60.</w:t>
      </w:r>
    </w:p>
    <w:p w14:paraId="286564B8">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2</w:t>
      </w:r>
      <w:r>
        <w:rPr>
          <w:rFonts w:hint="eastAsia"/>
          <w:shd w:val="clear" w:color="auto" w:fill="auto"/>
          <w:lang w:eastAsia="zh-CN"/>
        </w:rPr>
        <w:t>]</w:t>
      </w:r>
      <w:r>
        <w:rPr>
          <w:rFonts w:hint="eastAsia"/>
          <w:shd w:val="clear" w:color="auto" w:fill="auto"/>
          <w:lang w:eastAsia="zh-CN"/>
        </w:rPr>
        <w:tab/>
      </w:r>
      <w:r>
        <w:rPr>
          <w:shd w:val="clear" w:color="auto" w:fill="auto"/>
        </w:rPr>
        <w:t>Macy M W, Willer R. From factors to actors: Computational sociology and agent-based modeling[J]. Annual Review of Sociology, 2002, 28: 143-166.</w:t>
      </w:r>
    </w:p>
    <w:p w14:paraId="57B5465A">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3</w:t>
      </w:r>
      <w:r>
        <w:rPr>
          <w:rFonts w:hint="eastAsia"/>
          <w:shd w:val="clear" w:color="auto" w:fill="auto"/>
          <w:lang w:eastAsia="zh-CN"/>
        </w:rPr>
        <w:t>]</w:t>
      </w:r>
      <w:r>
        <w:rPr>
          <w:rFonts w:hint="eastAsia"/>
          <w:shd w:val="clear" w:color="auto" w:fill="auto"/>
          <w:lang w:eastAsia="zh-CN"/>
        </w:rPr>
        <w:tab/>
      </w:r>
      <w:r>
        <w:rPr>
          <w:shd w:val="clear" w:color="auto" w:fill="auto"/>
        </w:rPr>
        <w:t>Larooij M, Törnberg P. Do large language models solve the problems of agent-based modeling? A critical review of generative social simulations[J]. Artificial Intelligence Review, 2025, 58: 123.</w:t>
      </w:r>
    </w:p>
    <w:p w14:paraId="62A8BF65">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4</w:t>
      </w:r>
      <w:r>
        <w:rPr>
          <w:rFonts w:hint="eastAsia"/>
          <w:shd w:val="clear" w:color="auto" w:fill="auto"/>
          <w:lang w:eastAsia="zh-CN"/>
        </w:rPr>
        <w:t>]</w:t>
      </w:r>
      <w:r>
        <w:rPr>
          <w:rFonts w:hint="eastAsia"/>
          <w:shd w:val="clear" w:color="auto" w:fill="auto"/>
          <w:lang w:eastAsia="zh-CN"/>
        </w:rPr>
        <w:tab/>
      </w:r>
      <w:r>
        <w:rPr>
          <w:shd w:val="clear" w:color="auto" w:fill="auto"/>
        </w:rPr>
        <w:t>Schelling T C. Dynamic models of segregation[J]. Journal of Mathematical Sociology, 1971, 1(2): 143-186.</w:t>
      </w:r>
    </w:p>
    <w:p w14:paraId="44FCECB2">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5</w:t>
      </w:r>
      <w:r>
        <w:rPr>
          <w:rFonts w:hint="eastAsia"/>
          <w:shd w:val="clear" w:color="auto" w:fill="auto"/>
          <w:lang w:eastAsia="zh-CN"/>
        </w:rPr>
        <w:t>]</w:t>
      </w:r>
      <w:r>
        <w:rPr>
          <w:rFonts w:hint="eastAsia"/>
          <w:shd w:val="clear" w:color="auto" w:fill="auto"/>
          <w:lang w:eastAsia="zh-CN"/>
        </w:rPr>
        <w:tab/>
      </w:r>
      <w:r>
        <w:rPr>
          <w:shd w:val="clear" w:color="auto" w:fill="auto"/>
        </w:rPr>
        <w:t>Elsenbroich C. Explanation in agent-based modelling: Functions, causality or mechanisms?[J]. Journal of Artificial Societies and Social Simulation, 2012, 15(3). https://doi.org/10.18564/jasss.1958</w:t>
      </w:r>
    </w:p>
    <w:p w14:paraId="4A3E31F5">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6</w:t>
      </w:r>
      <w:r>
        <w:rPr>
          <w:rFonts w:hint="eastAsia"/>
          <w:shd w:val="clear" w:color="auto" w:fill="auto"/>
          <w:lang w:eastAsia="zh-CN"/>
        </w:rPr>
        <w:t>]</w:t>
      </w:r>
      <w:r>
        <w:rPr>
          <w:rFonts w:hint="eastAsia"/>
          <w:shd w:val="clear" w:color="auto" w:fill="auto"/>
          <w:lang w:eastAsia="zh-CN"/>
        </w:rPr>
        <w:tab/>
      </w:r>
      <w:r>
        <w:rPr>
          <w:shd w:val="clear" w:color="auto" w:fill="auto"/>
        </w:rPr>
        <w:t>Prawitz H, Schwarz L, Donges J F. Modelling social norms in social-ecological systems: A systematic literature review[J]. Environmental Research Letters, 2026. https://doi.org/10.1088/1748-9326/ae3b55</w:t>
      </w:r>
    </w:p>
    <w:p w14:paraId="60519DD6">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7</w:t>
      </w:r>
      <w:r>
        <w:rPr>
          <w:rFonts w:hint="eastAsia"/>
          <w:shd w:val="clear" w:color="auto" w:fill="auto"/>
          <w:lang w:eastAsia="zh-CN"/>
        </w:rPr>
        <w:t>]</w:t>
      </w:r>
      <w:r>
        <w:rPr>
          <w:rFonts w:hint="eastAsia"/>
          <w:shd w:val="clear" w:color="auto" w:fill="auto"/>
          <w:lang w:eastAsia="zh-CN"/>
        </w:rPr>
        <w:tab/>
      </w:r>
      <w:r>
        <w:rPr>
          <w:shd w:val="clear" w:color="auto" w:fill="auto"/>
        </w:rPr>
        <w:t>Nowak M A. Five rules for the evolution of cooperation[J]. Science, 2006, 314(5805): 1560-1563.</w:t>
      </w:r>
    </w:p>
    <w:p w14:paraId="6488C2E4">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8</w:t>
      </w:r>
      <w:r>
        <w:rPr>
          <w:rFonts w:hint="eastAsia"/>
          <w:shd w:val="clear" w:color="auto" w:fill="auto"/>
          <w:lang w:eastAsia="zh-CN"/>
        </w:rPr>
        <w:t>]</w:t>
      </w:r>
      <w:r>
        <w:rPr>
          <w:rFonts w:hint="eastAsia"/>
          <w:shd w:val="clear" w:color="auto" w:fill="auto"/>
          <w:lang w:eastAsia="zh-CN"/>
        </w:rPr>
        <w:tab/>
      </w:r>
      <w:r>
        <w:rPr>
          <w:shd w:val="clear" w:color="auto" w:fill="auto"/>
        </w:rPr>
        <w:t>Hauert C, De Monte S, Hofbauer J, et al. Volunteering as Red Queen mechanism for cooperation in public goods games[J]. Science, 2002, 296(5570): 1129-1132.</w:t>
      </w:r>
    </w:p>
    <w:p w14:paraId="1C54A07F">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9</w:t>
      </w:r>
      <w:r>
        <w:rPr>
          <w:rFonts w:hint="eastAsia"/>
          <w:shd w:val="clear" w:color="auto" w:fill="auto"/>
          <w:lang w:eastAsia="zh-CN"/>
        </w:rPr>
        <w:t>]</w:t>
      </w:r>
      <w:r>
        <w:rPr>
          <w:rFonts w:hint="eastAsia"/>
          <w:shd w:val="clear" w:color="auto" w:fill="auto"/>
          <w:lang w:eastAsia="zh-CN"/>
        </w:rPr>
        <w:tab/>
      </w:r>
      <w:r>
        <w:rPr>
          <w:shd w:val="clear" w:color="auto" w:fill="auto"/>
        </w:rPr>
        <w:t>Gintis H. The hitchhiker‘s guide to altruism: Gene-culture coevolution and the internalization of norms[J]. Journal of Theoretical Biology, 2003, 220(4): 407-418.</w:t>
      </w:r>
    </w:p>
    <w:p w14:paraId="00B53D45">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[1</w:t>
      </w:r>
      <w:r>
        <w:rPr>
          <w:rFonts w:hint="eastAsia"/>
          <w:shd w:val="clear" w:color="auto" w:fill="auto"/>
          <w:lang w:val="en-US" w:eastAsia="zh-CN"/>
        </w:rPr>
        <w:t>0</w:t>
      </w:r>
      <w:r>
        <w:rPr>
          <w:rFonts w:hint="eastAsia"/>
          <w:shd w:val="clear" w:color="auto" w:fill="auto"/>
          <w:lang w:eastAsia="zh-CN"/>
        </w:rPr>
        <w:t>]</w:t>
      </w:r>
      <w:r>
        <w:rPr>
          <w:rFonts w:hint="eastAsia"/>
          <w:shd w:val="clear" w:color="auto" w:fill="auto"/>
          <w:lang w:eastAsia="zh-CN"/>
        </w:rPr>
        <w:tab/>
      </w:r>
      <w:r>
        <w:rPr>
          <w:shd w:val="clear" w:color="auto" w:fill="auto"/>
        </w:rPr>
        <w:t>Jiang Z, Yuan L, Wang W, et al. Commitment &amp; cooperation in social dilemmas with diverse individual preferences: An agent-based modeling approach[J]. PLoS One, 2025, 20(7): e0327131.</w:t>
      </w:r>
    </w:p>
    <w:p w14:paraId="18BD80A1">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11</w:t>
      </w:r>
      <w:r>
        <w:rPr>
          <w:rFonts w:hint="eastAsia"/>
          <w:shd w:val="clear" w:color="auto" w:fill="auto"/>
          <w:lang w:eastAsia="zh-CN"/>
        </w:rPr>
        <w:t>]</w:t>
      </w:r>
      <w:r>
        <w:rPr>
          <w:rFonts w:hint="eastAsia"/>
          <w:shd w:val="clear" w:color="auto" w:fill="auto"/>
          <w:lang w:eastAsia="zh-CN"/>
        </w:rPr>
        <w:tab/>
      </w:r>
      <w:r>
        <w:rPr>
          <w:shd w:val="clear" w:color="auto" w:fill="auto"/>
        </w:rPr>
        <w:t>Ling T, Li Z, Feng M, Szolnoki A. Supervised cooperation on interdependent public goods games[J]. Applied Mathematics and Computation, 2025, 492: 129249.</w:t>
      </w:r>
    </w:p>
    <w:p w14:paraId="705E9E31">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1</w:t>
      </w:r>
      <w:r>
        <w:rPr>
          <w:rFonts w:hint="eastAsia"/>
          <w:shd w:val="clear" w:color="auto" w:fill="auto"/>
          <w:lang w:eastAsia="zh-CN"/>
        </w:rPr>
        <w:t>2]</w:t>
      </w:r>
      <w:r>
        <w:rPr>
          <w:rFonts w:hint="eastAsia"/>
          <w:shd w:val="clear" w:color="auto" w:fill="auto"/>
          <w:lang w:eastAsia="zh-CN"/>
        </w:rPr>
        <w:tab/>
      </w:r>
      <w:r>
        <w:rPr>
          <w:shd w:val="clear" w:color="auto" w:fill="auto"/>
        </w:rPr>
        <w:t>Ostrom E. Governing the Commons: The Evolution of Institutions for Collective Action[M]. Cambridge University Press, 1990.</w:t>
      </w:r>
    </w:p>
    <w:p w14:paraId="647AEECF">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13</w:t>
      </w:r>
      <w:r>
        <w:rPr>
          <w:rFonts w:hint="eastAsia"/>
          <w:shd w:val="clear" w:color="auto" w:fill="auto"/>
          <w:lang w:eastAsia="zh-CN"/>
        </w:rPr>
        <w:t>]</w:t>
      </w:r>
      <w:r>
        <w:rPr>
          <w:rFonts w:hint="eastAsia"/>
          <w:shd w:val="clear" w:color="auto" w:fill="auto"/>
          <w:lang w:eastAsia="zh-CN"/>
        </w:rPr>
        <w:tab/>
      </w:r>
      <w:r>
        <w:rPr>
          <w:shd w:val="clear" w:color="auto" w:fill="auto"/>
        </w:rPr>
        <w:t>Ostrom E. Understanding Institutional Diversity[M]. Princeton University Press, 2005.</w:t>
      </w:r>
    </w:p>
    <w:p w14:paraId="3DC9B739">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14</w:t>
      </w:r>
      <w:r>
        <w:rPr>
          <w:rFonts w:hint="eastAsia"/>
          <w:shd w:val="clear" w:color="auto" w:fill="auto"/>
          <w:lang w:eastAsia="zh-CN"/>
        </w:rPr>
        <w:t>]</w:t>
      </w:r>
      <w:r>
        <w:rPr>
          <w:rFonts w:hint="eastAsia"/>
          <w:shd w:val="clear" w:color="auto" w:fill="auto"/>
          <w:lang w:eastAsia="zh-CN"/>
        </w:rPr>
        <w:tab/>
      </w:r>
      <w:r>
        <w:rPr>
          <w:shd w:val="clear" w:color="auto" w:fill="auto"/>
        </w:rPr>
        <w:t>Schlüter M, Baeza A, Dressler G, et al. A framework for mapping and comparing behavioural theories in models of social-ecological systems[J]. Ecological Economics, 2017, 131: 21-35.</w:t>
      </w:r>
    </w:p>
    <w:p w14:paraId="6C30093E">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15</w:t>
      </w:r>
      <w:r>
        <w:rPr>
          <w:rFonts w:hint="eastAsia"/>
          <w:shd w:val="clear" w:color="auto" w:fill="auto"/>
          <w:lang w:eastAsia="zh-CN"/>
        </w:rPr>
        <w:t>]</w:t>
      </w:r>
      <w:r>
        <w:rPr>
          <w:rFonts w:hint="eastAsia"/>
          <w:shd w:val="clear" w:color="auto" w:fill="auto"/>
          <w:lang w:eastAsia="zh-CN"/>
        </w:rPr>
        <w:tab/>
      </w:r>
      <w:r>
        <w:rPr>
          <w:shd w:val="clear" w:color="auto" w:fill="auto"/>
        </w:rPr>
        <w:t>Dong Y, You W. Simulating Public Ecological Product Supply Systems: An Agent-Based Model Integrating Government, Enterprises, Public and ENGO[J]. Sustainability, 2026, 18(1): 253.</w:t>
      </w:r>
    </w:p>
    <w:p w14:paraId="1449C26A">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16</w:t>
      </w:r>
      <w:r>
        <w:rPr>
          <w:rFonts w:hint="eastAsia"/>
          <w:shd w:val="clear" w:color="auto" w:fill="auto"/>
          <w:lang w:eastAsia="zh-CN"/>
        </w:rPr>
        <w:t>]</w:t>
      </w:r>
      <w:r>
        <w:rPr>
          <w:rFonts w:hint="eastAsia"/>
          <w:shd w:val="clear" w:color="auto" w:fill="auto"/>
          <w:lang w:eastAsia="zh-CN"/>
        </w:rPr>
        <w:tab/>
      </w:r>
      <w:r>
        <w:rPr>
          <w:shd w:val="clear" w:color="auto" w:fill="auto"/>
        </w:rPr>
        <w:t>张驰, 岳中刚, 王飞. 差序格局、社会网络与合作博弈研究[J]. 南京邮电大学学报(社会科学版), 2021, 23(1): 92-104.</w:t>
      </w:r>
    </w:p>
    <w:p w14:paraId="2DAB3B2B">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shd w:val="clear" w:color="auto" w:fill="auto"/>
          <w:lang w:eastAsia="zh-CN"/>
        </w:rPr>
      </w:pPr>
      <w:r>
        <w:rPr>
          <w:rFonts w:hint="eastAsia"/>
          <w:shd w:val="clear" w:color="auto" w:fill="auto"/>
          <w:lang w:eastAsia="zh-CN"/>
        </w:rPr>
        <w:t>[</w:t>
      </w:r>
      <w:r>
        <w:rPr>
          <w:rFonts w:hint="eastAsia"/>
          <w:shd w:val="clear" w:color="auto" w:fill="auto"/>
          <w:lang w:val="en-US" w:eastAsia="zh-CN"/>
        </w:rPr>
        <w:t>17</w:t>
      </w:r>
      <w:r>
        <w:rPr>
          <w:rFonts w:hint="eastAsia"/>
          <w:shd w:val="clear" w:color="auto" w:fill="auto"/>
          <w:lang w:eastAsia="zh-CN"/>
        </w:rPr>
        <w:t>]秦瑾若.社会化问答社区答题者知识隐藏行为的影响因素研究[J].情报探索,2024,(10):1-9.</w:t>
      </w:r>
    </w:p>
    <w:p w14:paraId="76143B46">
      <w:pPr>
        <w:keepLines w:val="0"/>
        <w:widowControl w:val="0"/>
        <w:numPr>
          <w:ilvl w:val="0"/>
          <w:numId w:val="0"/>
        </w:numPr>
        <w:kinsoku/>
        <w:wordWrap/>
        <w:overflowPunct/>
        <w:topLinePunct w:val="0"/>
        <w:autoSpaceDE/>
        <w:autoSpaceDN/>
        <w:bidi w:val="0"/>
        <w:adjustRightInd w:val="0"/>
        <w:snapToGrid/>
        <w:spacing w:line="360" w:lineRule="auto"/>
        <w:ind w:left="480" w:hanging="480" w:hangingChars="200"/>
        <w:jc w:val="both"/>
        <w:textAlignment w:val="auto"/>
        <w:outlineLvl w:val="9"/>
        <w:rPr>
          <w:rFonts w:hint="eastAsia" w:ascii="Times New Roman" w:hAnsi="Times New Roman" w:eastAsia="宋体" w:cs="Times New Roman"/>
          <w:kern w:val="0"/>
          <w:sz w:val="24"/>
          <w:szCs w:val="24"/>
          <w:shd w:val="clear" w:color="auto" w:fill="auto"/>
          <w:lang w:eastAsia="zh-CN"/>
        </w:rPr>
      </w:pPr>
      <w:r>
        <w:rPr>
          <w:rFonts w:hint="eastAsia" w:ascii="Times New Roman" w:hAnsi="Times New Roman" w:eastAsia="宋体" w:cs="Times New Roman"/>
          <w:kern w:val="0"/>
          <w:sz w:val="24"/>
          <w:szCs w:val="24"/>
          <w:shd w:val="clear" w:color="auto" w:fill="auto"/>
          <w:lang w:eastAsia="zh-CN"/>
        </w:rPr>
        <w:t>[1</w:t>
      </w:r>
      <w:r>
        <w:rPr>
          <w:rFonts w:hint="eastAsia" w:ascii="Times New Roman" w:hAnsi="Times New Roman" w:eastAsia="宋体" w:cs="Times New Roman"/>
          <w:kern w:val="0"/>
          <w:sz w:val="24"/>
          <w:szCs w:val="24"/>
          <w:shd w:val="clear" w:color="auto" w:fill="auto"/>
          <w:lang w:val="en-US" w:eastAsia="zh-CN"/>
        </w:rPr>
        <w:t>8</w:t>
      </w:r>
      <w:r>
        <w:rPr>
          <w:rFonts w:hint="eastAsia" w:ascii="Times New Roman" w:hAnsi="Times New Roman" w:eastAsia="宋体" w:cs="Times New Roman"/>
          <w:kern w:val="0"/>
          <w:sz w:val="24"/>
          <w:szCs w:val="24"/>
          <w:shd w:val="clear" w:color="auto" w:fill="auto"/>
          <w:lang w:eastAsia="zh-CN"/>
        </w:rPr>
        <w:t>]</w:t>
      </w:r>
      <w:r>
        <w:rPr>
          <w:rFonts w:hint="eastAsia" w:ascii="Times New Roman" w:hAnsi="Times New Roman" w:eastAsia="宋体" w:cs="Times New Roman"/>
          <w:kern w:val="0"/>
          <w:sz w:val="24"/>
          <w:szCs w:val="24"/>
          <w:shd w:val="clear" w:color="auto" w:fill="auto"/>
          <w:lang w:eastAsia="zh-CN"/>
        </w:rPr>
        <w:tab/>
      </w:r>
      <w:r>
        <w:rPr>
          <w:rFonts w:hint="eastAsia" w:ascii="Times New Roman" w:hAnsi="Times New Roman" w:eastAsia="宋体" w:cs="Times New Roman"/>
          <w:kern w:val="0"/>
          <w:sz w:val="24"/>
          <w:szCs w:val="24"/>
          <w:shd w:val="clear" w:color="auto" w:fill="auto"/>
          <w:lang w:eastAsia="zh-CN"/>
        </w:rPr>
        <w:t>Van Oel, P.R., Mulatu, D.W., Odongo, V.O. et al. Using Data on Social Influence and Collective Action for Parameterizing a Geographically-Explicit Agent-Based Model for the Diffusion of Soil Conservation Efforts. Environ Model Assess 24, 1–19 (2019). https://doi.org/10.1007/s10666-018-9638-y</w:t>
      </w:r>
    </w:p>
    <w:p w14:paraId="75293A02">
      <w:pPr>
        <w:keepLines w:val="0"/>
        <w:widowControl w:val="0"/>
        <w:numPr>
          <w:ilvl w:val="0"/>
          <w:numId w:val="0"/>
        </w:numPr>
        <w:kinsoku/>
        <w:wordWrap/>
        <w:overflowPunct/>
        <w:topLinePunct w:val="0"/>
        <w:autoSpaceDE/>
        <w:autoSpaceDN/>
        <w:bidi w:val="0"/>
        <w:adjustRightInd w:val="0"/>
        <w:snapToGrid/>
        <w:spacing w:line="360" w:lineRule="auto"/>
        <w:ind w:left="425" w:leftChars="0" w:hanging="425" w:firstLineChars="0"/>
        <w:jc w:val="left"/>
        <w:textAlignment w:val="auto"/>
        <w:outlineLvl w:val="9"/>
        <w:rPr>
          <w:rFonts w:hint="eastAsia" w:ascii="Times New Roman" w:hAnsi="Times New Roman" w:eastAsia="宋体" w:cs="Times New Roman"/>
          <w:kern w:val="0"/>
          <w:sz w:val="24"/>
          <w:szCs w:val="24"/>
          <w:shd w:val="clear" w:color="auto" w:fill="auto"/>
          <w:lang w:eastAsia="zh-CN"/>
        </w:rPr>
      </w:pPr>
      <w:r>
        <w:rPr>
          <w:rFonts w:hint="eastAsia" w:ascii="Times New Roman" w:hAnsi="Times New Roman" w:eastAsia="宋体" w:cs="Times New Roman"/>
          <w:kern w:val="0"/>
          <w:sz w:val="24"/>
          <w:szCs w:val="24"/>
          <w:shd w:val="clear" w:color="auto" w:fill="auto"/>
          <w:lang w:eastAsia="zh-CN"/>
        </w:rPr>
        <w:t>[1</w:t>
      </w:r>
      <w:r>
        <w:rPr>
          <w:rFonts w:hint="eastAsia" w:ascii="Times New Roman" w:hAnsi="Times New Roman" w:eastAsia="宋体" w:cs="Times New Roman"/>
          <w:kern w:val="0"/>
          <w:sz w:val="24"/>
          <w:szCs w:val="24"/>
          <w:shd w:val="clear" w:color="auto" w:fill="auto"/>
          <w:lang w:val="en-US" w:eastAsia="zh-CN"/>
        </w:rPr>
        <w:t>9</w:t>
      </w:r>
      <w:r>
        <w:rPr>
          <w:rFonts w:hint="eastAsia" w:ascii="Times New Roman" w:hAnsi="Times New Roman" w:eastAsia="宋体" w:cs="Times New Roman"/>
          <w:kern w:val="0"/>
          <w:sz w:val="24"/>
          <w:szCs w:val="24"/>
          <w:shd w:val="clear" w:color="auto" w:fill="auto"/>
          <w:lang w:eastAsia="zh-CN"/>
        </w:rPr>
        <w:t>]</w:t>
      </w:r>
      <w:r>
        <w:rPr>
          <w:rFonts w:hint="eastAsia" w:ascii="Times New Roman" w:hAnsi="Times New Roman" w:eastAsia="宋体" w:cs="Times New Roman"/>
          <w:kern w:val="0"/>
          <w:sz w:val="24"/>
          <w:szCs w:val="24"/>
          <w:shd w:val="clear" w:color="auto" w:fill="auto"/>
          <w:lang w:eastAsia="zh-CN"/>
        </w:rPr>
        <w:tab/>
      </w:r>
      <w:r>
        <w:rPr>
          <w:rFonts w:hint="eastAsia" w:ascii="Times New Roman" w:hAnsi="Times New Roman" w:eastAsia="宋体" w:cs="Times New Roman"/>
          <w:kern w:val="0"/>
          <w:sz w:val="24"/>
          <w:szCs w:val="24"/>
          <w:shd w:val="clear" w:color="auto" w:fill="auto"/>
          <w:lang w:eastAsia="zh-CN"/>
        </w:rPr>
        <w:t>熊恒、蔡静晶（2016年4月6日）</w:t>
      </w:r>
      <w:r>
        <w:rPr>
          <w:rFonts w:hint="eastAsia" w:ascii="Times New Roman" w:hAnsi="Times New Roman" w:eastAsia="宋体" w:cs="Times New Roman"/>
          <w:kern w:val="0"/>
          <w:sz w:val="24"/>
          <w:szCs w:val="24"/>
          <w:shd w:val="clear" w:color="auto" w:fill="auto"/>
          <w:lang w:val="en-US" w:eastAsia="zh-CN"/>
        </w:rPr>
        <w:t>.</w:t>
      </w:r>
      <w:r>
        <w:rPr>
          <w:rFonts w:hint="eastAsia" w:ascii="Times New Roman" w:hAnsi="Times New Roman" w:eastAsia="宋体" w:cs="Times New Roman"/>
          <w:kern w:val="0"/>
          <w:sz w:val="24"/>
          <w:szCs w:val="24"/>
          <w:shd w:val="clear" w:color="auto" w:fill="auto"/>
          <w:lang w:eastAsia="zh-CN"/>
        </w:rPr>
        <w:t>《灌溉管理中基于代理的集体自组织模型》（版本1.0.0）</w:t>
      </w:r>
      <w:r>
        <w:rPr>
          <w:rFonts w:hint="eastAsia" w:ascii="Times New Roman" w:hAnsi="Times New Roman" w:eastAsia="宋体" w:cs="Times New Roman"/>
          <w:kern w:val="0"/>
          <w:sz w:val="24"/>
          <w:szCs w:val="24"/>
          <w:shd w:val="clear" w:color="auto" w:fill="auto"/>
          <w:lang w:val="en-US" w:eastAsia="zh-CN"/>
        </w:rPr>
        <w:t>.</w:t>
      </w:r>
      <w:r>
        <w:rPr>
          <w:rFonts w:hint="eastAsia" w:ascii="Times New Roman" w:hAnsi="Times New Roman" w:eastAsia="宋体" w:cs="Times New Roman"/>
          <w:kern w:val="0"/>
          <w:sz w:val="24"/>
          <w:szCs w:val="24"/>
          <w:shd w:val="clear" w:color="auto" w:fill="auto"/>
          <w:lang w:eastAsia="zh-CN"/>
        </w:rPr>
        <w:t>CoMSES 计算模型库</w:t>
      </w:r>
      <w:r>
        <w:rPr>
          <w:rFonts w:hint="eastAsia" w:ascii="Times New Roman" w:hAnsi="Times New Roman" w:eastAsia="宋体" w:cs="Times New Roman"/>
          <w:kern w:val="0"/>
          <w:sz w:val="24"/>
          <w:szCs w:val="24"/>
          <w:shd w:val="clear" w:color="auto" w:fill="auto"/>
          <w:lang w:val="en-US" w:eastAsia="zh-CN"/>
        </w:rPr>
        <w:t>.</w:t>
      </w:r>
      <w:r>
        <w:rPr>
          <w:rFonts w:hint="eastAsia" w:ascii="Times New Roman" w:hAnsi="Times New Roman" w:eastAsia="宋体" w:cs="Times New Roman"/>
          <w:kern w:val="0"/>
          <w:sz w:val="24"/>
          <w:szCs w:val="24"/>
          <w:shd w:val="clear" w:color="auto" w:fill="auto"/>
          <w:lang w:eastAsia="zh-CN"/>
        </w:rPr>
        <w:t>检索自：</w:t>
      </w:r>
      <w:r>
        <w:rPr>
          <w:rFonts w:hint="eastAsia" w:ascii="Times New Roman" w:hAnsi="Times New Roman" w:eastAsia="宋体" w:cs="Times New Roman"/>
          <w:kern w:val="0"/>
          <w:sz w:val="24"/>
          <w:szCs w:val="24"/>
          <w:shd w:val="clear" w:color="auto" w:fill="auto"/>
          <w:lang w:eastAsia="zh-CN"/>
        </w:rPr>
        <w:fldChar w:fldCharType="begin"/>
      </w:r>
      <w:r>
        <w:rPr>
          <w:rFonts w:hint="eastAsia" w:ascii="Times New Roman" w:hAnsi="Times New Roman" w:eastAsia="宋体" w:cs="Times New Roman"/>
          <w:kern w:val="0"/>
          <w:sz w:val="24"/>
          <w:szCs w:val="24"/>
          <w:shd w:val="clear" w:color="auto" w:fill="auto"/>
          <w:lang w:eastAsia="zh-CN"/>
        </w:rPr>
        <w:instrText xml:space="preserve"> HYPERLINK "https://www.comses.net/codebases/4975/releases/1.0.0/" </w:instrText>
      </w:r>
      <w:r>
        <w:rPr>
          <w:rFonts w:hint="eastAsia" w:ascii="Times New Roman" w:hAnsi="Times New Roman" w:eastAsia="宋体" w:cs="Times New Roman"/>
          <w:kern w:val="0"/>
          <w:sz w:val="24"/>
          <w:szCs w:val="24"/>
          <w:shd w:val="clear" w:color="auto" w:fill="auto"/>
          <w:lang w:eastAsia="zh-CN"/>
        </w:rPr>
        <w:fldChar w:fldCharType="separate"/>
      </w:r>
      <w:r>
        <w:rPr>
          <w:rStyle w:val="22"/>
          <w:rFonts w:hint="eastAsia" w:ascii="Times New Roman" w:hAnsi="Times New Roman" w:eastAsia="宋体" w:cs="Times New Roman"/>
          <w:kern w:val="0"/>
          <w:sz w:val="24"/>
          <w:szCs w:val="24"/>
          <w:shd w:val="clear" w:color="auto" w:fill="auto"/>
          <w:lang w:eastAsia="zh-CN"/>
        </w:rPr>
        <w:t>https://www.comses.net/codebases/4975/releases/1.0.0/</w:t>
      </w:r>
      <w:r>
        <w:rPr>
          <w:rFonts w:hint="eastAsia" w:ascii="Times New Roman" w:hAnsi="Times New Roman" w:eastAsia="宋体" w:cs="Times New Roman"/>
          <w:kern w:val="0"/>
          <w:sz w:val="24"/>
          <w:szCs w:val="24"/>
          <w:shd w:val="clear" w:color="auto" w:fill="auto"/>
          <w:lang w:eastAsia="zh-CN"/>
        </w:rPr>
        <w:fldChar w:fldCharType="end"/>
      </w:r>
    </w:p>
    <w:p w14:paraId="6B360C2D">
      <w:pPr>
        <w:keepLines w:val="0"/>
        <w:widowControl w:val="0"/>
        <w:numPr>
          <w:ilvl w:val="0"/>
          <w:numId w:val="0"/>
        </w:numPr>
        <w:kinsoku/>
        <w:wordWrap/>
        <w:overflowPunct/>
        <w:topLinePunct w:val="0"/>
        <w:autoSpaceDE/>
        <w:autoSpaceDN/>
        <w:bidi w:val="0"/>
        <w:adjustRightInd w:val="0"/>
        <w:snapToGrid/>
        <w:spacing w:line="360" w:lineRule="auto"/>
        <w:ind w:left="425" w:leftChars="0" w:hanging="425" w:firstLineChars="0"/>
        <w:jc w:val="both"/>
        <w:textAlignment w:val="auto"/>
        <w:outlineLvl w:val="9"/>
        <w:rPr>
          <w:rFonts w:hint="eastAsia" w:ascii="Times New Roman" w:hAnsi="Times New Roman" w:eastAsia="宋体" w:cs="Times New Roman"/>
          <w:kern w:val="0"/>
          <w:sz w:val="24"/>
          <w:szCs w:val="24"/>
          <w:shd w:val="clear" w:color="auto" w:fill="auto"/>
          <w:lang w:eastAsia="zh-CN"/>
        </w:rPr>
      </w:pPr>
      <w:r>
        <w:rPr>
          <w:rFonts w:hint="eastAsia" w:ascii="Times New Roman" w:hAnsi="Times New Roman" w:eastAsia="宋体" w:cs="Times New Roman"/>
          <w:kern w:val="0"/>
          <w:sz w:val="24"/>
          <w:szCs w:val="24"/>
          <w:shd w:val="clear" w:color="auto" w:fill="auto"/>
          <w:lang w:eastAsia="zh-CN"/>
        </w:rPr>
        <w:t>[</w:t>
      </w:r>
      <w:r>
        <w:rPr>
          <w:rFonts w:hint="eastAsia" w:ascii="Times New Roman" w:hAnsi="Times New Roman" w:eastAsia="宋体" w:cs="Times New Roman"/>
          <w:kern w:val="0"/>
          <w:sz w:val="24"/>
          <w:szCs w:val="24"/>
          <w:shd w:val="clear" w:color="auto" w:fill="auto"/>
          <w:lang w:val="en-US" w:eastAsia="zh-CN"/>
        </w:rPr>
        <w:t>20</w:t>
      </w:r>
      <w:r>
        <w:rPr>
          <w:rFonts w:hint="eastAsia" w:ascii="Times New Roman" w:hAnsi="Times New Roman" w:eastAsia="宋体" w:cs="Times New Roman"/>
          <w:kern w:val="0"/>
          <w:sz w:val="24"/>
          <w:szCs w:val="24"/>
          <w:shd w:val="clear" w:color="auto" w:fill="auto"/>
          <w:lang w:eastAsia="zh-CN"/>
        </w:rPr>
        <w:t>]</w:t>
      </w:r>
      <w:r>
        <w:rPr>
          <w:rFonts w:hint="eastAsia" w:ascii="Times New Roman" w:hAnsi="Times New Roman" w:eastAsia="宋体" w:cs="Times New Roman"/>
          <w:kern w:val="0"/>
          <w:sz w:val="24"/>
          <w:szCs w:val="24"/>
          <w:shd w:val="clear" w:color="auto" w:fill="auto"/>
          <w:lang w:eastAsia="zh-CN"/>
        </w:rPr>
        <w:tab/>
      </w:r>
      <w:r>
        <w:rPr>
          <w:rFonts w:hint="eastAsia" w:ascii="Times New Roman" w:hAnsi="Times New Roman" w:eastAsia="宋体" w:cs="Times New Roman"/>
          <w:kern w:val="0"/>
          <w:sz w:val="24"/>
          <w:szCs w:val="24"/>
          <w:shd w:val="clear" w:color="auto" w:fill="auto"/>
          <w:lang w:eastAsia="zh-CN"/>
        </w:rPr>
        <w:t>Reinhard S, Naranjo M A, Polman N, et al. Modelling choices and social interactions with a threshold public good: Investment decisions in a polder in Bangladesh[J]. Land Use Policy, 2022, 113: 105886.</w:t>
      </w:r>
    </w:p>
    <w:p w14:paraId="44183FB7">
      <w:pPr>
        <w:keepLines w:val="0"/>
        <w:widowControl w:val="0"/>
        <w:numPr>
          <w:ilvl w:val="0"/>
          <w:numId w:val="0"/>
        </w:numPr>
        <w:kinsoku/>
        <w:wordWrap/>
        <w:overflowPunct/>
        <w:topLinePunct w:val="0"/>
        <w:autoSpaceDE/>
        <w:autoSpaceDN/>
        <w:bidi w:val="0"/>
        <w:adjustRightInd w:val="0"/>
        <w:snapToGrid/>
        <w:spacing w:line="360" w:lineRule="auto"/>
        <w:ind w:left="425" w:leftChars="0" w:hanging="425" w:firstLineChars="0"/>
        <w:jc w:val="both"/>
        <w:textAlignment w:val="auto"/>
        <w:outlineLvl w:val="9"/>
        <w:rPr>
          <w:rFonts w:hint="eastAsia" w:ascii="Times New Roman" w:hAnsi="Times New Roman" w:eastAsia="宋体" w:cs="Times New Roman"/>
          <w:kern w:val="0"/>
          <w:sz w:val="24"/>
          <w:szCs w:val="24"/>
          <w:shd w:val="clear" w:color="auto" w:fill="auto"/>
          <w:lang w:eastAsia="zh-CN"/>
        </w:rPr>
      </w:pPr>
      <w:r>
        <w:rPr>
          <w:rFonts w:hint="eastAsia" w:ascii="Times New Roman" w:hAnsi="Times New Roman" w:eastAsia="宋体" w:cs="Times New Roman"/>
          <w:kern w:val="0"/>
          <w:sz w:val="24"/>
          <w:szCs w:val="24"/>
          <w:shd w:val="clear" w:color="auto" w:fill="auto"/>
          <w:lang w:eastAsia="zh-CN"/>
        </w:rPr>
        <w:t>[</w:t>
      </w:r>
      <w:r>
        <w:rPr>
          <w:rFonts w:hint="eastAsia" w:ascii="Times New Roman" w:hAnsi="Times New Roman" w:eastAsia="宋体" w:cs="Times New Roman"/>
          <w:kern w:val="0"/>
          <w:sz w:val="24"/>
          <w:szCs w:val="24"/>
          <w:shd w:val="clear" w:color="auto" w:fill="auto"/>
          <w:lang w:val="en-US" w:eastAsia="zh-CN"/>
        </w:rPr>
        <w:t>21</w:t>
      </w:r>
      <w:r>
        <w:rPr>
          <w:rFonts w:hint="eastAsia" w:ascii="Times New Roman" w:hAnsi="Times New Roman" w:eastAsia="宋体" w:cs="Times New Roman"/>
          <w:kern w:val="0"/>
          <w:sz w:val="24"/>
          <w:szCs w:val="24"/>
          <w:shd w:val="clear" w:color="auto" w:fill="auto"/>
          <w:lang w:eastAsia="zh-CN"/>
        </w:rPr>
        <w:t>]</w:t>
      </w:r>
      <w:r>
        <w:rPr>
          <w:rFonts w:hint="eastAsia" w:ascii="Times New Roman" w:hAnsi="Times New Roman" w:eastAsia="宋体" w:cs="Times New Roman"/>
          <w:kern w:val="0"/>
          <w:sz w:val="24"/>
          <w:szCs w:val="24"/>
          <w:shd w:val="clear" w:color="auto" w:fill="auto"/>
          <w:lang w:eastAsia="zh-CN"/>
        </w:rPr>
        <w:tab/>
      </w:r>
      <w:r>
        <w:rPr>
          <w:rFonts w:hint="eastAsia" w:ascii="Times New Roman" w:hAnsi="Times New Roman" w:eastAsia="宋体" w:cs="Times New Roman"/>
          <w:kern w:val="0"/>
          <w:sz w:val="24"/>
          <w:szCs w:val="24"/>
          <w:shd w:val="clear" w:color="auto" w:fill="auto"/>
          <w:lang w:eastAsia="zh-CN"/>
        </w:rPr>
        <w:t>Mu X, Yang D, Han Q. Collective heat-transition voting: An agent-based model integrating bounded confidence, social pressure, and information diffusion[J]. Energy Strategy Reviews, 2026, 63: 102001.</w:t>
      </w:r>
    </w:p>
    <w:p w14:paraId="266F51CB">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22</w:t>
      </w:r>
      <w:r>
        <w:rPr>
          <w:rFonts w:hint="eastAsia"/>
          <w:shd w:val="clear" w:color="auto" w:fill="auto"/>
          <w:lang w:eastAsia="zh-CN"/>
        </w:rPr>
        <w:t>]</w:t>
      </w:r>
      <w:r>
        <w:rPr>
          <w:rFonts w:hint="eastAsia"/>
          <w:shd w:val="clear" w:color="auto" w:fill="auto"/>
          <w:lang w:eastAsia="zh-CN"/>
        </w:rPr>
        <w:tab/>
      </w:r>
      <w:r>
        <w:rPr>
          <w:shd w:val="clear" w:color="auto" w:fill="auto"/>
        </w:rPr>
        <w:t>Park J S, O‘Brien J C, Cai C J, et al. Generative Agents: Interactive Simulacra Human Behavior[C]. Proceedings of the 36th Annual ACM Symposium on User Interface Software and Technology (UIST ‘23), 2023, Article 2.</w:t>
      </w:r>
    </w:p>
    <w:p w14:paraId="7D9507B6">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23</w:t>
      </w:r>
      <w:r>
        <w:rPr>
          <w:rFonts w:hint="eastAsia"/>
          <w:shd w:val="clear" w:color="auto" w:fill="auto"/>
          <w:lang w:eastAsia="zh-CN"/>
        </w:rPr>
        <w:t>]</w:t>
      </w:r>
      <w:r>
        <w:rPr>
          <w:rFonts w:hint="eastAsia"/>
          <w:shd w:val="clear" w:color="auto" w:fill="auto"/>
          <w:lang w:eastAsia="zh-CN"/>
        </w:rPr>
        <w:tab/>
      </w:r>
      <w:r>
        <w:rPr>
          <w:shd w:val="clear" w:color="auto" w:fill="auto"/>
        </w:rPr>
        <w:t>Ziems C, Held W, Shaikh O, et al. Can large language models transform computational social science?[J]. Computational Linguistics, 2024, 50(1): 237-291.</w:t>
      </w:r>
    </w:p>
    <w:p w14:paraId="17AF0C6E">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shd w:val="clear" w:color="auto" w:fill="auto"/>
        </w:rPr>
      </w:pPr>
      <w:r>
        <w:rPr>
          <w:rFonts w:hint="eastAsia"/>
          <w:shd w:val="clear" w:color="auto" w:fill="auto"/>
          <w:lang w:eastAsia="zh-CN"/>
        </w:rPr>
        <w:t>[</w:t>
      </w:r>
      <w:r>
        <w:rPr>
          <w:rFonts w:hint="eastAsia"/>
          <w:shd w:val="clear" w:color="auto" w:fill="auto"/>
          <w:lang w:val="en-US" w:eastAsia="zh-CN"/>
        </w:rPr>
        <w:t>24</w:t>
      </w:r>
      <w:r>
        <w:rPr>
          <w:rFonts w:hint="eastAsia"/>
          <w:shd w:val="clear" w:color="auto" w:fill="auto"/>
          <w:lang w:eastAsia="zh-CN"/>
        </w:rPr>
        <w:t>]</w:t>
      </w:r>
      <w:r>
        <w:rPr>
          <w:rFonts w:hint="eastAsia"/>
          <w:shd w:val="clear" w:color="auto" w:fill="auto"/>
          <w:lang w:eastAsia="zh-CN"/>
        </w:rPr>
        <w:tab/>
      </w:r>
      <w:r>
        <w:rPr>
          <w:shd w:val="clear" w:color="auto" w:fill="auto"/>
        </w:rPr>
        <w:t>Zhang S, Peng Z, Ren Y. GPLab: A Generative Agent-Based Framework for Policy Simulation and Evaluation[J]. Journal of Artificial Societies and Social Simulation, 2026, 29(1): 6.</w:t>
      </w:r>
    </w:p>
    <w:p w14:paraId="5BD32085">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25</w:t>
      </w:r>
      <w:r>
        <w:rPr>
          <w:rFonts w:hint="eastAsia"/>
          <w:shd w:val="clear" w:color="auto" w:fill="auto"/>
          <w:lang w:eastAsia="zh-CN"/>
        </w:rPr>
        <w:t>]</w:t>
      </w:r>
      <w:r>
        <w:rPr>
          <w:rFonts w:hint="eastAsia"/>
          <w:shd w:val="clear" w:color="auto" w:fill="auto"/>
          <w:lang w:eastAsia="zh-CN"/>
        </w:rPr>
        <w:tab/>
      </w:r>
      <w:r>
        <w:rPr>
          <w:shd w:val="clear" w:color="auto" w:fill="auto"/>
        </w:rPr>
        <w:t>浙江大学高云君、毛玉仁团队，通义实验室. Agent-Kernel：大规模分布式智能体系统开发框架[R]. 技术报告, 2026.</w:t>
      </w:r>
      <w:r>
        <w:rPr>
          <w:rFonts w:hint="eastAsia"/>
          <w:shd w:val="clear" w:color="auto" w:fill="auto"/>
          <w:lang w:eastAsia="zh-CN"/>
        </w:rPr>
        <w:tab/>
      </w:r>
    </w:p>
    <w:p w14:paraId="47071F60">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26</w:t>
      </w:r>
      <w:r>
        <w:rPr>
          <w:rFonts w:hint="eastAsia"/>
          <w:shd w:val="clear" w:color="auto" w:fill="auto"/>
          <w:lang w:eastAsia="zh-CN"/>
        </w:rPr>
        <w:t>]</w:t>
      </w:r>
      <w:r>
        <w:rPr>
          <w:rFonts w:hint="eastAsia"/>
          <w:shd w:val="clear" w:color="auto" w:fill="auto"/>
          <w:lang w:eastAsia="zh-CN"/>
        </w:rPr>
        <w:tab/>
      </w:r>
      <w:r>
        <w:rPr>
          <w:shd w:val="clear" w:color="auto" w:fill="auto"/>
        </w:rPr>
        <w:t>Mergel I, Rethemeyer R K, Isett K. Big Data in Public Affairs[J]. Public Administration Review, 2016, 76(6): 928-937.</w:t>
      </w:r>
    </w:p>
    <w:p w14:paraId="353DF618">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rFonts w:hint="eastAsia" w:eastAsia="宋体"/>
          <w:shd w:val="clear" w:color="auto" w:fill="auto"/>
          <w:lang w:eastAsia="zh-CN"/>
        </w:rPr>
      </w:pPr>
      <w:r>
        <w:rPr>
          <w:rFonts w:hint="eastAsia"/>
          <w:shd w:val="clear" w:color="auto" w:fill="auto"/>
          <w:lang w:eastAsia="zh-CN"/>
        </w:rPr>
        <w:t>[</w:t>
      </w:r>
      <w:r>
        <w:rPr>
          <w:rFonts w:hint="eastAsia"/>
          <w:shd w:val="clear" w:color="auto" w:fill="auto"/>
          <w:lang w:val="en-US" w:eastAsia="zh-CN"/>
        </w:rPr>
        <w:t>27</w:t>
      </w:r>
      <w:r>
        <w:rPr>
          <w:rFonts w:hint="eastAsia"/>
          <w:shd w:val="clear" w:color="auto" w:fill="auto"/>
          <w:lang w:eastAsia="zh-CN"/>
        </w:rPr>
        <w:t>]</w:t>
      </w:r>
      <w:r>
        <w:rPr>
          <w:rFonts w:hint="eastAsia"/>
          <w:shd w:val="clear" w:color="auto" w:fill="auto"/>
          <w:lang w:eastAsia="zh-CN"/>
        </w:rPr>
        <w:tab/>
      </w:r>
      <w:r>
        <w:rPr>
          <w:shd w:val="clear" w:color="auto" w:fill="auto"/>
        </w:rPr>
        <w:t>Shults F L, Wildman W J, Lane J E, Puga-Gonzalez I. Sustainable Altruism: Simulating the Future of Prosociality and Peacebuilding—A Conceptual Review[J]. Journal of Sustainable Research, 2025, 7(2): e250033.</w:t>
      </w:r>
    </w:p>
    <w:p w14:paraId="3140D1FC">
      <w:pPr>
        <w:pStyle w:val="25"/>
        <w:keepLines w:val="0"/>
        <w:numPr>
          <w:ilvl w:val="0"/>
          <w:numId w:val="0"/>
        </w:numPr>
        <w:kinsoku/>
        <w:wordWrap/>
        <w:overflowPunct/>
        <w:topLinePunct w:val="0"/>
        <w:autoSpaceDE/>
        <w:autoSpaceDN/>
        <w:bidi w:val="0"/>
        <w:snapToGrid/>
        <w:spacing w:line="360" w:lineRule="auto"/>
        <w:ind w:left="425" w:leftChars="0" w:hanging="425"/>
        <w:textAlignment w:val="auto"/>
        <w:rPr>
          <w:shd w:val="clear" w:color="auto" w:fill="auto"/>
        </w:rPr>
      </w:pPr>
      <w:r>
        <w:rPr>
          <w:rFonts w:hint="eastAsia"/>
          <w:shd w:val="clear" w:color="auto" w:fill="auto"/>
          <w:lang w:eastAsia="zh-CN"/>
        </w:rPr>
        <w:t>[</w:t>
      </w:r>
      <w:r>
        <w:rPr>
          <w:rFonts w:hint="eastAsia"/>
          <w:shd w:val="clear" w:color="auto" w:fill="auto"/>
          <w:lang w:val="en-US" w:eastAsia="zh-CN"/>
        </w:rPr>
        <w:t>28</w:t>
      </w:r>
      <w:r>
        <w:rPr>
          <w:rFonts w:hint="eastAsia"/>
          <w:shd w:val="clear" w:color="auto" w:fill="auto"/>
          <w:lang w:eastAsia="zh-CN"/>
        </w:rPr>
        <w:t>]</w:t>
      </w:r>
      <w:r>
        <w:rPr>
          <w:rFonts w:hint="eastAsia"/>
          <w:shd w:val="clear" w:color="auto" w:fill="auto"/>
          <w:lang w:eastAsia="zh-CN"/>
        </w:rPr>
        <w:tab/>
      </w:r>
      <w:r>
        <w:rPr>
          <w:shd w:val="clear" w:color="auto" w:fill="auto"/>
        </w:rPr>
        <w:t>Scholz G, Wijermans N, Paolillo R, et al. Social Agents? A Systematic Review of Social Identity Formalizations[J]. Journal of Artificial Societies and Social Simulation, 2023, 26(4): 6.</w:t>
      </w:r>
    </w:p>
    <w:p w14:paraId="32284531">
      <w:pPr>
        <w:keepNext w:val="0"/>
        <w:keepLines w:val="0"/>
        <w:pageBreakBefore w:val="0"/>
        <w:widowControl w:val="0"/>
        <w:kinsoku/>
        <w:wordWrap/>
        <w:overflowPunct/>
        <w:topLinePunct w:val="0"/>
        <w:autoSpaceDE/>
        <w:autoSpaceDN/>
        <w:bidi w:val="0"/>
        <w:snapToGrid/>
        <w:spacing w:line="360" w:lineRule="auto"/>
        <w:textAlignment w:val="auto"/>
        <w:rPr>
          <w:shd w:val="clear" w:color="auto" w:fill="auto"/>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KaTeX_Math">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EA29B">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D0819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9D0819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116A02"/>
    <w:multiLevelType w:val="singleLevel"/>
    <w:tmpl w:val="EE116A02"/>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E228A3"/>
    <w:rsid w:val="10FD2150"/>
    <w:rsid w:val="1B9C0929"/>
    <w:rsid w:val="1CCE32B0"/>
    <w:rsid w:val="1DEF4963"/>
    <w:rsid w:val="29F37C02"/>
    <w:rsid w:val="2D2A59EC"/>
    <w:rsid w:val="3220530C"/>
    <w:rsid w:val="40E90FBF"/>
    <w:rsid w:val="48870B74"/>
    <w:rsid w:val="50A13664"/>
    <w:rsid w:val="6BE11C3E"/>
    <w:rsid w:val="72BB1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styleId="3">
    <w:name w:val="heading 2"/>
    <w:next w:val="1"/>
    <w:unhideWhenUsed/>
    <w:qFormat/>
    <w:uiPriority w:val="0"/>
    <w:pPr>
      <w:keepNext w:val="0"/>
      <w:keepLines w:val="0"/>
      <w:widowControl w:val="0"/>
      <w:adjustRightInd w:val="0"/>
      <w:spacing w:before="50" w:beforeLines="50" w:after="50" w:afterLines="50" w:line="480" w:lineRule="auto"/>
      <w:jc w:val="left"/>
      <w:outlineLvl w:val="1"/>
    </w:pPr>
    <w:rPr>
      <w:rFonts w:ascii="Times New Roman" w:hAnsi="Times New Roman" w:eastAsia="黑体" w:cs="Times New Roman"/>
      <w:b/>
      <w:bCs/>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50" w:beforeLines="50" w:after="50" w:afterLines="50" w:line="480" w:lineRule="auto"/>
      <w:jc w:val="left"/>
      <w:outlineLvl w:val="2"/>
    </w:pPr>
    <w:rPr>
      <w:rFonts w:ascii="Times New Roman" w:hAnsi="Times New Roman" w:eastAsia="黑体" w:cs="Times New Roman"/>
      <w:b/>
      <w:bCs/>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80" w:lineRule="auto"/>
      <w:ind w:firstLine="480" w:firstLineChars="200"/>
      <w:jc w:val="left"/>
      <w:outlineLvl w:val="3"/>
    </w:pPr>
    <w:rPr>
      <w:rFonts w:ascii="Times New Roman" w:hAnsi="Times New Roman" w:eastAsia="黑体" w:cs="Times New Roman"/>
      <w:b/>
      <w:bCs/>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8"/>
    </w:pPr>
    <w:rPr>
      <w:rFonts w:ascii="Times New Roman" w:hAnsi="Times New Roman" w:eastAsia="宋体" w:cs="Times New Roman"/>
      <w:kern w:val="2"/>
      <w:sz w:val="24"/>
      <w:szCs w:val="24"/>
      <w:lang w:bidi="ar-SA"/>
    </w:rPr>
  </w:style>
  <w:style w:type="character" w:default="1" w:styleId="21">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next w:val="1"/>
    <w:qFormat/>
    <w:uiPriority w:val="0"/>
    <w:pPr>
      <w:adjustRightInd w:val="0"/>
      <w:spacing w:line="360" w:lineRule="auto"/>
      <w:ind w:firstLine="0" w:firstLineChars="0"/>
      <w:jc w:val="left"/>
    </w:pPr>
    <w:rPr>
      <w:rFonts w:ascii="Times New Roman" w:hAnsi="Times New Roman" w:eastAsia="宋体" w:cs="Times New Roman"/>
      <w:b/>
      <w:bCs/>
      <w:sz w:val="24"/>
      <w:szCs w:val="24"/>
    </w:rPr>
  </w:style>
  <w:style w:type="paragraph" w:styleId="16">
    <w:name w:val="toc 4"/>
    <w:basedOn w:val="1"/>
    <w:next w:val="1"/>
    <w:uiPriority w:val="0"/>
    <w:pPr>
      <w:ind w:left="1260" w:leftChars="600"/>
    </w:pPr>
  </w:style>
  <w:style w:type="paragraph" w:styleId="17">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8">
    <w:name w:val="toc 2"/>
    <w:next w:val="1"/>
    <w:qFormat/>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9">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bCs/>
      <w:kern w:val="2"/>
      <w:sz w:val="44"/>
      <w:szCs w:val="44"/>
      <w:lang w:bidi="ar-SA"/>
    </w:rPr>
  </w:style>
  <w:style w:type="character" w:styleId="22">
    <w:name w:val="Hyperlink"/>
    <w:basedOn w:val="21"/>
    <w:qFormat/>
    <w:uiPriority w:val="0"/>
    <w:rPr>
      <w:color w:val="0000FF"/>
      <w:u w:val="single"/>
    </w:rPr>
  </w:style>
  <w:style w:type="paragraph" w:customStyle="1" w:styleId="2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character" w:customStyle="1" w:styleId="24">
    <w:name w:val="关键词"/>
    <w:qFormat/>
    <w:uiPriority w:val="0"/>
    <w:rPr>
      <w:rFonts w:ascii="Times New Roman" w:hAnsi="Times New Roman" w:eastAsia="黑体" w:cs="Times New Roman"/>
      <w:b/>
      <w:bCs/>
      <w:kern w:val="2"/>
      <w:sz w:val="24"/>
      <w:szCs w:val="24"/>
      <w:lang w:bidi="ar-SA"/>
    </w:rPr>
  </w:style>
  <w:style w:type="paragraph" w:customStyle="1" w:styleId="25">
    <w:name w:val="参考文献条目"/>
    <w:next w:val="1"/>
    <w:qFormat/>
    <w:uiPriority w:val="0"/>
    <w:pPr>
      <w:widowControl w:val="0"/>
      <w:adjustRightInd w:val="0"/>
      <w:spacing w:line="360" w:lineRule="auto"/>
      <w:ind w:left="0" w:firstLine="0" w:firstLineChars="0"/>
      <w:jc w:val="both"/>
      <w:outlineLvl w:val="9"/>
    </w:pPr>
    <w:rPr>
      <w:rFonts w:ascii="Times New Roman" w:hAnsi="Times New Roman" w:eastAsia="宋体" w:cs="Times New Roman"/>
      <w:kern w:val="0"/>
      <w:sz w:val="24"/>
      <w:szCs w:val="24"/>
    </w:rPr>
  </w:style>
  <w:style w:type="paragraph" w:customStyle="1" w:styleId="26">
    <w:name w:val="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27">
    <w:name w:val="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paragraph" w:customStyle="1" w:styleId="28">
    <w:name w:val="摘要标题"/>
    <w:next w:val="1"/>
    <w:qFormat/>
    <w:uiPriority w:val="0"/>
    <w:pPr>
      <w:keepNext w:val="0"/>
      <w:keepLines w:val="0"/>
      <w:widowControl w:val="0"/>
      <w:adjustRightInd w:val="0"/>
      <w:spacing w:beforeLines="50" w:afterLines="50" w:line="360" w:lineRule="auto"/>
      <w:jc w:val="center"/>
      <w:outlineLvl w:val="9"/>
    </w:pPr>
    <w:rPr>
      <w:rFonts w:ascii="Times New Roman" w:hAnsi="Times New Roman" w:eastAsia="黑体" w:cs="Times New Roman"/>
      <w:b/>
      <w:bCs/>
      <w:kern w:val="44"/>
      <w:sz w:val="36"/>
      <w:szCs w:val="36"/>
      <w:lang w:bidi="ar-SA"/>
    </w:rPr>
  </w:style>
  <w:style w:type="paragraph" w:customStyle="1" w:styleId="29">
    <w:name w:val="目录标题"/>
    <w:next w:val="1"/>
    <w:qFormat/>
    <w:uiPriority w:val="0"/>
    <w:pPr>
      <w:widowControl w:val="0"/>
      <w:adjustRightInd w:val="0"/>
      <w:spacing w:beforeLines="50" w:afterLines="50" w:line="360" w:lineRule="auto"/>
      <w:jc w:val="center"/>
      <w:outlineLvl w:val="9"/>
    </w:pPr>
    <w:rPr>
      <w:rFonts w:ascii="Times New Roman" w:hAnsi="Times New Roman" w:eastAsia="黑体" w:cs="Times New Roman"/>
      <w:b/>
      <w:bCs/>
      <w:kern w:val="2"/>
      <w:sz w:val="36"/>
      <w:szCs w:val="36"/>
      <w:lang w:bidi="ar-SA"/>
    </w:rPr>
  </w:style>
  <w:style w:type="paragraph" w:customStyle="1" w:styleId="30">
    <w:name w:val="参考文献标题"/>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15126</Words>
  <Characters>19224</Characters>
  <Lines>0</Lines>
  <Paragraphs>0</Paragraphs>
  <TotalTime>99</TotalTime>
  <ScaleCrop>false</ScaleCrop>
  <LinksUpToDate>false</LinksUpToDate>
  <CharactersWithSpaces>19921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2026-03-12T10:24:00Z</dcterms:created>
  <dc:creator>iPad</dc:creator>
  <cp:lastModifiedBy>。</cp:lastModifiedBy>
  <dcterms:modified xsi:type="dcterms:W3CDTF">2026-03-19T12:03:56Z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8D91AB8C17DE0542E823B2691D3EC9D0_31</vt:lpwstr>
  </property>
  <property fmtid="{D5CDD505-2E9C-101B-9397-08002B2CF9AE}" pid="4" name="KSOTemplateDocerSaveRecord">
    <vt:lpwstr>eyJoZGlkIjoiYmEyZDMxNWRkYmY5MjE3NjUxYTk3ZDA1NDUyNmVkYWEiLCJ1c2VySWQiOiI5MDE3Mjg5OTUifQ==</vt:lpwstr>
  </property>
</Properties>
</file>