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43C760">
      <w:pPr>
        <w:jc w:val="center"/>
        <w:rPr>
          <w:rFonts w:hint="eastAsia"/>
          <w:b/>
          <w:bCs/>
          <w:sz w:val="44"/>
          <w:szCs w:val="44"/>
          <w:lang w:val="en-US" w:eastAsia="zh-CN"/>
        </w:rPr>
      </w:pPr>
      <w:r>
        <w:rPr>
          <w:rFonts w:hint="eastAsia"/>
          <w:b/>
          <w:bCs/>
          <w:sz w:val="44"/>
          <w:szCs w:val="44"/>
          <w:lang w:val="en-US" w:eastAsia="zh-CN"/>
        </w:rPr>
        <w:t>迈向智能治理：多智能体模拟</w:t>
      </w:r>
    </w:p>
    <w:p w14:paraId="7DB9EE56">
      <w:pPr>
        <w:jc w:val="center"/>
        <w:rPr>
          <w:rFonts w:hint="eastAsia"/>
          <w:b/>
          <w:bCs/>
          <w:sz w:val="44"/>
          <w:szCs w:val="44"/>
          <w:lang w:val="en-US" w:eastAsia="zh-CN"/>
        </w:rPr>
      </w:pPr>
      <w:r>
        <w:rPr>
          <w:rFonts w:hint="eastAsia"/>
          <w:b/>
          <w:bCs/>
          <w:sz w:val="44"/>
          <w:szCs w:val="44"/>
          <w:lang w:val="en-US" w:eastAsia="zh-CN"/>
        </w:rPr>
        <w:t>在公共管理领域的前沿应用与核心挑战</w:t>
      </w:r>
    </w:p>
    <w:p w14:paraId="489BC8FB">
      <w:pPr>
        <w:rPr>
          <w:rFonts w:hint="default"/>
          <w:sz w:val="32"/>
          <w:szCs w:val="32"/>
          <w:lang w:val="en-US" w:eastAsia="zh-CN"/>
        </w:rPr>
      </w:pPr>
    </w:p>
    <w:p w14:paraId="59C62F42">
      <w:pPr>
        <w:keepNext w:val="0"/>
        <w:keepLines w:val="0"/>
        <w:pageBreakBefore w:val="0"/>
        <w:widowControl w:val="0"/>
        <w:kinsoku/>
        <w:wordWrap/>
        <w:overflowPunct/>
        <w:topLinePunct w:val="0"/>
        <w:autoSpaceDE/>
        <w:autoSpaceDN/>
        <w:bidi w:val="0"/>
        <w:adjustRightInd/>
        <w:snapToGrid/>
        <w:textAlignment w:val="auto"/>
        <w:rPr>
          <w:rFonts w:hint="eastAsia"/>
          <w:sz w:val="32"/>
          <w:szCs w:val="32"/>
          <w:lang w:val="en-US" w:eastAsia="zh-CN"/>
        </w:rPr>
      </w:pPr>
      <w:r>
        <w:rPr>
          <w:rFonts w:hint="eastAsia" w:ascii="黑体" w:hAnsi="黑体" w:eastAsia="黑体" w:cs="黑体"/>
          <w:sz w:val="32"/>
          <w:szCs w:val="32"/>
          <w:lang w:val="en-US" w:eastAsia="zh-CN"/>
        </w:rPr>
        <w:t>摘要：</w:t>
      </w:r>
      <w:r>
        <w:rPr>
          <w:rFonts w:hint="eastAsia"/>
          <w:sz w:val="32"/>
          <w:szCs w:val="32"/>
          <w:lang w:val="en-US" w:eastAsia="zh-CN"/>
        </w:rPr>
        <w:t>随着人工智能技术的迭代升级，多智能体系统凭借自下而上的模拟优势，为公共管理领域破解复杂社会治理难题、优化政务服务流程提供了全新技术路径与解决方案。本文梳理当前研究两大核心方向：一是依托多智能体技术重构政府内部运作模式，强化跨部门协同效</w:t>
      </w:r>
      <w:bookmarkStart w:id="0" w:name="_GoBack"/>
      <w:bookmarkEnd w:id="0"/>
      <w:r>
        <w:rPr>
          <w:rFonts w:hint="eastAsia"/>
          <w:sz w:val="32"/>
          <w:szCs w:val="32"/>
          <w:lang w:val="en-US" w:eastAsia="zh-CN"/>
        </w:rPr>
        <w:t>能、提升公共服务透明度与响应速度；二是通过微观个体行为模拟，还原阶层分化、群体情绪传播、利他行为涌现等宏观社会复杂现象，深挖社会治理底层运行逻辑。同时，综述全面剖析该领域面临的模型验证、技术落地、伦理合规等核心挑战，系统展现多智能体模拟赋能智能治理的发展现状、应用潜力与未来研究方向，为公共管理与人工智能交叉领域研究提供理论参考与实践指引。</w:t>
      </w:r>
    </w:p>
    <w:p w14:paraId="27A31292">
      <w:pPr>
        <w:keepNext w:val="0"/>
        <w:keepLines w:val="0"/>
        <w:pageBreakBefore w:val="0"/>
        <w:widowControl w:val="0"/>
        <w:kinsoku/>
        <w:wordWrap/>
        <w:overflowPunct/>
        <w:topLinePunct w:val="0"/>
        <w:autoSpaceDE/>
        <w:autoSpaceDN/>
        <w:bidi w:val="0"/>
        <w:adjustRightInd/>
        <w:snapToGrid/>
        <w:textAlignment w:val="auto"/>
        <w:rPr>
          <w:rFonts w:hint="default"/>
          <w:sz w:val="32"/>
          <w:szCs w:val="32"/>
          <w:lang w:val="en-US" w:eastAsia="zh-CN"/>
        </w:rPr>
      </w:pPr>
      <w:r>
        <w:rPr>
          <w:rFonts w:hint="eastAsia" w:ascii="黑体" w:hAnsi="黑体" w:eastAsia="黑体" w:cs="黑体"/>
          <w:sz w:val="32"/>
          <w:szCs w:val="32"/>
          <w:lang w:val="en-US" w:eastAsia="zh-CN"/>
        </w:rPr>
        <w:t>关键词：</w:t>
      </w:r>
      <w:r>
        <w:rPr>
          <w:rFonts w:hint="eastAsia"/>
          <w:sz w:val="32"/>
          <w:szCs w:val="32"/>
          <w:lang w:val="en-US" w:eastAsia="zh-CN"/>
        </w:rPr>
        <w:t>公共管理，多智能体模拟，智能治理，跨学科融合，社会仿真</w:t>
      </w:r>
    </w:p>
    <w:p w14:paraId="6206A691">
      <w:pPr>
        <w:keepNext w:val="0"/>
        <w:keepLines w:val="0"/>
        <w:pageBreakBefore w:val="0"/>
        <w:widowControl w:val="0"/>
        <w:kinsoku/>
        <w:wordWrap/>
        <w:overflowPunct/>
        <w:topLinePunct w:val="0"/>
        <w:autoSpaceDE/>
        <w:autoSpaceDN/>
        <w:bidi w:val="0"/>
        <w:adjustRightInd/>
        <w:snapToGrid/>
        <w:textAlignment w:val="auto"/>
        <w:rPr>
          <w:rFonts w:hint="eastAsia"/>
          <w:sz w:val="32"/>
          <w:szCs w:val="32"/>
          <w:lang w:val="en-US" w:eastAsia="zh-CN"/>
        </w:rPr>
      </w:pPr>
    </w:p>
    <w:p w14:paraId="7F7C46C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b/>
          <w:bCs/>
          <w:sz w:val="36"/>
          <w:szCs w:val="36"/>
          <w:lang w:val="en-US" w:eastAsia="zh-CN"/>
        </w:rPr>
      </w:pPr>
      <w:r>
        <w:rPr>
          <w:rFonts w:hint="eastAsia" w:asciiTheme="minorHAnsi" w:hAnsiTheme="minorHAnsi" w:eastAsiaTheme="minorEastAsia" w:cstheme="minorBidi"/>
          <w:b/>
          <w:bCs/>
          <w:kern w:val="2"/>
          <w:sz w:val="36"/>
          <w:szCs w:val="36"/>
          <w:lang w:val="en-US" w:eastAsia="zh-CN" w:bidi="ar-SA"/>
        </w:rPr>
        <w:t>一、</w:t>
      </w:r>
      <w:r>
        <w:rPr>
          <w:rFonts w:hint="eastAsia"/>
          <w:b/>
          <w:bCs/>
          <w:sz w:val="36"/>
          <w:szCs w:val="36"/>
          <w:lang w:val="en-US" w:eastAsia="zh-CN"/>
        </w:rPr>
        <w:t>引言</w:t>
      </w:r>
    </w:p>
    <w:p w14:paraId="0C9801F3">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sz w:val="32"/>
          <w:szCs w:val="32"/>
          <w:lang w:val="en-US" w:eastAsia="zh-CN"/>
        </w:rPr>
      </w:pPr>
      <w:r>
        <w:rPr>
          <w:rFonts w:hint="eastAsia"/>
          <w:sz w:val="32"/>
          <w:szCs w:val="32"/>
          <w:lang w:val="en-US" w:eastAsia="zh-CN"/>
        </w:rPr>
        <w:t>数字化转型深入推进与社会结构日趋复杂的双重背景下，公共管理领域面临诸多现实困境：跨部门政务协作壁垒突出、公共服务供需匹配精准度不足、社会舆情演变难以预判、政策干预效果无法提前推演，这些难题成为制约治理现代化的关键瓶颈。多智能体模拟作为一种依托人工智能、博弈论、复杂系统科学的新型仿真工具，通过构建具备自主决策、互动学习能力的智能个体，还原微观行为与宏观现象的关联机制，为破解复杂治理问题提供了独特视角。</w:t>
      </w:r>
    </w:p>
    <w:p w14:paraId="2DFC5DE5">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sz w:val="32"/>
          <w:szCs w:val="32"/>
          <w:lang w:val="en-US" w:eastAsia="zh-CN"/>
        </w:rPr>
      </w:pPr>
      <w:r>
        <w:rPr>
          <w:rFonts w:hint="eastAsia"/>
          <w:sz w:val="32"/>
          <w:szCs w:val="32"/>
          <w:lang w:val="en-US" w:eastAsia="zh-CN"/>
        </w:rPr>
        <w:t>近年来，大语言模型、深度学习等技术的突破，大幅提升了智能体的认知推理、情感感知与动态适配能力，催生生成式多智能体系统的兴起，推动该领域从单一流程模拟向复杂社会仿真演进。本文整合十篇国内外核心研究，系统梳理多智能体模拟在公共管理领域的应用场景，剖析技术赋能治理现代化的实践路径，新增跨学科模型融合案例分析，并提炼领域核心挑战与破局方向，完善研究框架与论证体系。</w:t>
      </w:r>
    </w:p>
    <w:p w14:paraId="6BE467C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heme="minorHAnsi" w:hAnsiTheme="minorHAnsi" w:eastAsiaTheme="minorEastAsia" w:cstheme="minorBidi"/>
          <w:b/>
          <w:bCs/>
          <w:kern w:val="2"/>
          <w:sz w:val="36"/>
          <w:szCs w:val="36"/>
          <w:lang w:val="en-US" w:eastAsia="zh-CN" w:bidi="ar-SA"/>
        </w:rPr>
      </w:pPr>
      <w:r>
        <w:rPr>
          <w:rFonts w:hint="eastAsia" w:asciiTheme="minorHAnsi" w:hAnsiTheme="minorHAnsi" w:eastAsiaTheme="minorEastAsia" w:cstheme="minorBidi"/>
          <w:b/>
          <w:bCs/>
          <w:kern w:val="2"/>
          <w:sz w:val="36"/>
          <w:szCs w:val="36"/>
          <w:lang w:val="en-US" w:eastAsia="zh-CN" w:bidi="ar-SA"/>
        </w:rPr>
        <w:t>二、赋能政府：优化内部流程与提升治理透明度</w:t>
      </w:r>
    </w:p>
    <w:p w14:paraId="2429CEFD">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sz w:val="32"/>
          <w:szCs w:val="32"/>
          <w:lang w:val="en-US" w:eastAsia="zh-CN"/>
        </w:rPr>
      </w:pPr>
      <w:r>
        <w:rPr>
          <w:rFonts w:hint="eastAsia"/>
          <w:sz w:val="32"/>
          <w:szCs w:val="32"/>
          <w:lang w:val="en-US" w:eastAsia="zh-CN"/>
        </w:rPr>
        <w:t>多智能体系统在公共管理中最直接的应用是模拟和优化政府与公民之间的互动，从而提升效率、透明度与决策科学性。</w:t>
      </w:r>
    </w:p>
    <w:p w14:paraId="6CA67C7D">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sz w:val="32"/>
          <w:szCs w:val="32"/>
          <w:lang w:val="en-US" w:eastAsia="zh-CN"/>
        </w:rPr>
      </w:pPr>
      <w:r>
        <w:rPr>
          <w:rFonts w:hint="eastAsia"/>
          <w:sz w:val="32"/>
          <w:szCs w:val="32"/>
          <w:lang w:val="en-US" w:eastAsia="zh-CN"/>
        </w:rPr>
        <w:t>首先，在跨部门协作与行政流程方面，穆尼奥斯-巴兰科等人构建了一个基于JADE平台与深度学习相结合的系统，用于解决地方政府各部门间相互操作的协作问题。该系统将财政部、活动管理部、公共安全部等不同部门建模，通过深度强化学习使其可以在协作中学习和优化决策，例如高效处理大型活动许可、农业审计乃至水污染危机。实验结果显示，该系统显著提升了任务完成率和决策准确性，同时也大幅度降低了沟通延迟。此研究证明了多智能体系统与深度强化学习在促进跨部门协作和危机预警等方面有巨大潜力。[1]</w:t>
      </w:r>
    </w:p>
    <w:p w14:paraId="2C5A51F8">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sz w:val="32"/>
          <w:szCs w:val="32"/>
          <w:lang w:val="en-US" w:eastAsia="zh-CN"/>
        </w:rPr>
      </w:pPr>
      <w:r>
        <w:rPr>
          <w:rFonts w:hint="eastAsia"/>
          <w:sz w:val="32"/>
          <w:szCs w:val="32"/>
          <w:lang w:val="en-US" w:eastAsia="zh-CN"/>
        </w:rPr>
        <w:t>在提升政府透明度和公众信息获取方面，弗洛雷斯等人与帕帕乔治乌等人的研究都采取了先进的自然语言处理系统，构建了面向公众的智能问答系统。弗洛雷斯等人针对秘鲁政府数据碎片化、质量低下的问题，设计了一个多智能体对话系统。该系统通过结合检索增强生成和动态文本，分别处理国会记录和采购数据，使公民能够通过自然语言查询结构化的政府信息。该系统在数据提问和问答准确性上表现优异，展现了大语言模型在提升数据质量环境下政府透明度的可行性。帕帕乔治乌等人则更进一步，为欧盟电子政府应用开发了一个混合多智能体检索生成框架。该框架整合了标准RAG和实时网络搜索，利用大语言模型从哦梦官方新闻稿中构建知识图谱，使得智能体能够进行多跳推理，回答设计复杂实体关系和政策的深层问题。证明了GraphRAG方法在回答事实准确性和完整性优于传统RAG，为构建可解释可信赖的AI助手提供蓝图。[2][3]</w:t>
      </w:r>
    </w:p>
    <w:p w14:paraId="4583650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sz w:val="32"/>
          <w:szCs w:val="32"/>
          <w:lang w:val="en-US" w:eastAsia="zh-CN"/>
        </w:rPr>
      </w:pPr>
    </w:p>
    <w:p w14:paraId="6C56F94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heme="minorHAnsi" w:hAnsiTheme="minorHAnsi" w:eastAsiaTheme="minorEastAsia" w:cstheme="minorBidi"/>
          <w:b/>
          <w:bCs/>
          <w:kern w:val="2"/>
          <w:sz w:val="36"/>
          <w:szCs w:val="36"/>
          <w:lang w:val="en-US" w:eastAsia="zh-CN" w:bidi="ar-SA"/>
        </w:rPr>
      </w:pPr>
      <w:r>
        <w:rPr>
          <w:rFonts w:hint="eastAsia" w:asciiTheme="minorHAnsi" w:hAnsiTheme="minorHAnsi" w:eastAsiaTheme="minorEastAsia" w:cstheme="minorBidi"/>
          <w:b/>
          <w:bCs/>
          <w:kern w:val="2"/>
          <w:sz w:val="36"/>
          <w:szCs w:val="36"/>
          <w:lang w:val="en-US" w:eastAsia="zh-CN" w:bidi="ar-SA"/>
        </w:rPr>
        <w:t>三、洞悉社会：模拟宏观现象与微观行为</w:t>
      </w:r>
    </w:p>
    <w:p w14:paraId="1DC19A1C">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sz w:val="32"/>
          <w:szCs w:val="32"/>
          <w:lang w:val="en-US" w:eastAsia="zh-CN"/>
        </w:rPr>
      </w:pPr>
      <w:r>
        <w:rPr>
          <w:rFonts w:hint="eastAsia"/>
          <w:sz w:val="32"/>
          <w:szCs w:val="32"/>
          <w:lang w:val="en-US" w:eastAsia="zh-CN"/>
        </w:rPr>
        <w:t>多智能体模拟的核心优势在于穿透宏观社会表象，还原微观个体互动、行为决策与群体现象的传导机制，为公共政策制定、社会风险防控提供实证依据与决策支撑，覆盖社会分层、公民满意度、利他合作、公共安全等多元治理场景。</w:t>
      </w:r>
    </w:p>
    <w:p w14:paraId="171D0296">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sz w:val="32"/>
          <w:szCs w:val="32"/>
          <w:lang w:val="en-US" w:eastAsia="zh-CN"/>
        </w:rPr>
      </w:pPr>
      <w:r>
        <w:rPr>
          <w:rFonts w:hint="eastAsia"/>
          <w:sz w:val="32"/>
          <w:szCs w:val="32"/>
          <w:lang w:val="en-US" w:eastAsia="zh-CN"/>
        </w:rPr>
        <w:t>在社会分层与资源分配问题上，萨杜尔尼等人对经典的Bonabeau模型进行了扩展，引入两个竞争性群体来模拟城市中不同的社会阶层间的互动。模型假设只有不同群体的个体才能互动，并通过“适存度”的交换来模拟竞争结果。模拟发现，即使初始状态完全平等，系统中也会自发涌现少数“领导者”，而大部分成员的适存度则持续衰减，形成明显的阶层分化。这一过程揭示了社会不平等可能源于群体间竞争互动的内在动力学机制。[4]</w:t>
      </w:r>
    </w:p>
    <w:p w14:paraId="6A576583">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sz w:val="32"/>
          <w:szCs w:val="32"/>
          <w:lang w:val="en-US" w:eastAsia="zh-CN"/>
        </w:rPr>
      </w:pPr>
      <w:r>
        <w:rPr>
          <w:rFonts w:hint="eastAsia"/>
          <w:sz w:val="32"/>
          <w:szCs w:val="32"/>
          <w:lang w:val="en-US" w:eastAsia="zh-CN"/>
        </w:rPr>
        <w:t>在对城市建设的满意度研究上，于乐刚等人将期望确认模型与情绪感知理论相结合，构建了一个多智能体仿真模型，用以研究智慧城市建设中公民满意度的动态变化。该模型不仅考虑了公民接触智慧技术后的直接满意度变化，更创新性地引入了情绪在社交网络中间传染的影响。模拟结果表明，公民的初始期望是影响满意度的关键因素，且情绪感知的影响不可忽视。尤其是在熟人社会中，情绪传染会加剧满意度两极分化，甚至新城队里社会的极端情绪。这一研究为城市管理者提供了重要启示，不仅要重视技术建设的数量，更要关注最终的成效，关注居民期望，并有效关系社区情绪。[5]</w:t>
      </w:r>
    </w:p>
    <w:p w14:paraId="07F45368">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sz w:val="32"/>
          <w:szCs w:val="32"/>
          <w:lang w:val="en-US" w:eastAsia="zh-CN"/>
        </w:rPr>
      </w:pPr>
      <w:r>
        <w:rPr>
          <w:rFonts w:hint="default"/>
          <w:sz w:val="32"/>
          <w:szCs w:val="32"/>
          <w:lang w:val="en-US" w:eastAsia="zh-CN"/>
        </w:rPr>
        <w:t>在探索社会合作与利他行为的涌现机制上，</w:t>
      </w:r>
      <w:r>
        <w:rPr>
          <w:rFonts w:hint="eastAsia"/>
          <w:sz w:val="32"/>
          <w:szCs w:val="32"/>
          <w:lang w:val="en-US" w:eastAsia="zh-CN"/>
        </w:rPr>
        <w:t>陈胜辉</w:t>
      </w:r>
      <w:r>
        <w:rPr>
          <w:rFonts w:hint="default"/>
          <w:sz w:val="32"/>
          <w:szCs w:val="32"/>
          <w:lang w:val="en-US" w:eastAsia="zh-CN"/>
        </w:rPr>
        <w:t>等人从博弈论和机制设计的角度出发，提出了关系游戏模型。该模型通过在静态博弈中引入个体间的加权关系网络，并假设个体是有界理性的，来研究如何设计这些关系权重以最小化社会总成本。以交通拥堵为例，该算法能够自动学习出最优的权重分配：比如，在普通车辆与救护车共存的场景中，算法会使普通车辆学会利他，主动为救护车让行，即使这会增加自身成本。这项工作展示了通过设计微观层面的关系，可以有效地引导宏观层面的社会协作行为。</w:t>
      </w:r>
      <w:r>
        <w:rPr>
          <w:rFonts w:hint="eastAsia"/>
          <w:sz w:val="32"/>
          <w:szCs w:val="32"/>
          <w:lang w:val="en-US" w:eastAsia="zh-CN"/>
        </w:rPr>
        <w:t>[6]</w:t>
      </w:r>
    </w:p>
    <w:p w14:paraId="178D1FBD">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sz w:val="32"/>
          <w:szCs w:val="32"/>
          <w:lang w:val="en-US" w:eastAsia="zh-CN"/>
        </w:rPr>
      </w:pPr>
      <w:r>
        <w:rPr>
          <w:rFonts w:hint="default"/>
          <w:sz w:val="32"/>
          <w:szCs w:val="32"/>
          <w:lang w:val="en-US" w:eastAsia="zh-CN"/>
        </w:rPr>
        <w:t>最后，在公共安全监控方面，巴拉吉和阿尼塔的研究将多智能体理念融入女性安全保护系统。该系统首先通过对抗训练的多头模型，精准识别监控视频中行人的属性，即使在光照不足或遮挡情况下也能保持高准确率。随后，系统结合YOLO模型进行暴力行为检测和距离监测，当检测到潜在威胁时，会触发一个基于大语言模型的报告智能体，自动生成结构化的事件报告并上传云端。这套系统集成了计算机视觉、深度学习和生成式智能体，实现了从感知到决策再到行动的闭环，为实时公共安全响应提供了新范式。</w:t>
      </w:r>
      <w:r>
        <w:rPr>
          <w:rFonts w:hint="eastAsia"/>
          <w:sz w:val="32"/>
          <w:szCs w:val="32"/>
          <w:lang w:val="en-US" w:eastAsia="zh-CN"/>
        </w:rPr>
        <w:t>[7]</w:t>
      </w:r>
    </w:p>
    <w:p w14:paraId="6B8F3A37">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sz w:val="32"/>
          <w:szCs w:val="32"/>
          <w:lang w:val="en-US" w:eastAsia="zh-CN"/>
        </w:rPr>
      </w:pPr>
    </w:p>
    <w:p w14:paraId="4EC145C5">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eastAsia" w:asciiTheme="minorHAnsi" w:hAnsiTheme="minorHAnsi" w:eastAsiaTheme="minorEastAsia" w:cstheme="minorBidi"/>
          <w:b/>
          <w:bCs/>
          <w:kern w:val="2"/>
          <w:sz w:val="36"/>
          <w:szCs w:val="36"/>
          <w:lang w:val="en-US" w:eastAsia="zh-CN" w:bidi="ar-SA"/>
        </w:rPr>
      </w:pPr>
      <w:r>
        <w:rPr>
          <w:rFonts w:hint="eastAsia" w:asciiTheme="minorHAnsi" w:hAnsiTheme="minorHAnsi" w:eastAsiaTheme="minorEastAsia" w:cstheme="minorBidi"/>
          <w:b/>
          <w:bCs/>
          <w:kern w:val="2"/>
          <w:sz w:val="36"/>
          <w:szCs w:val="36"/>
          <w:lang w:val="en-US" w:eastAsia="zh-CN" w:bidi="ar-SA"/>
        </w:rPr>
        <w:t>跨学科融合案例分析：心理学、管理学模型赋能多智能体社会仿真</w:t>
      </w:r>
    </w:p>
    <w:p w14:paraId="5E2311D0">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sz w:val="32"/>
          <w:szCs w:val="32"/>
          <w:lang w:val="en-US" w:eastAsia="zh-CN"/>
        </w:rPr>
      </w:pPr>
      <w:r>
        <w:rPr>
          <w:rFonts w:hint="default"/>
          <w:sz w:val="32"/>
          <w:szCs w:val="32"/>
          <w:lang w:val="en-US" w:eastAsia="zh-CN"/>
        </w:rPr>
        <w:t>多智能体模拟与公共管理的深度融合，离不开心理学、管理学经典理论的支撑，通过将成熟的行为模型、管理逻辑嵌入智能体决策框架，大幅提升模拟真实性与政策适配性</w:t>
      </w:r>
      <w:r>
        <w:rPr>
          <w:rFonts w:hint="eastAsia"/>
          <w:sz w:val="32"/>
          <w:szCs w:val="32"/>
          <w:lang w:val="en-US" w:eastAsia="zh-CN"/>
        </w:rPr>
        <w:t>。</w:t>
      </w:r>
    </w:p>
    <w:p w14:paraId="6BAED5D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（一）计划行为理论与多智能体模拟：公共政策执行仿真</w:t>
      </w:r>
    </w:p>
    <w:p w14:paraId="7BCA0881">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sz w:val="32"/>
          <w:szCs w:val="32"/>
          <w:lang w:val="en-US" w:eastAsia="zh-CN"/>
        </w:rPr>
      </w:pPr>
      <w:r>
        <w:rPr>
          <w:rFonts w:hint="default"/>
          <w:sz w:val="32"/>
          <w:szCs w:val="32"/>
          <w:lang w:val="en-US" w:eastAsia="zh-CN"/>
        </w:rPr>
        <w:t>计划行为理论作为心理学经典行为决策模型，从态度、主观规范、感知行为控制三个维度解析个体行为决策逻辑，被广泛应用于多智能体政策执行模拟。相关研究将该理论嵌入智能体行为规则，模拟公民对垃圾分类、疫情防控、税收缴纳等公共政策的响应行为。</w:t>
      </w:r>
    </w:p>
    <w:p w14:paraId="45B344F4">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sz w:val="32"/>
          <w:szCs w:val="32"/>
          <w:lang w:val="en-US" w:eastAsia="zh-CN"/>
        </w:rPr>
      </w:pPr>
      <w:r>
        <w:rPr>
          <w:rFonts w:hint="default"/>
          <w:sz w:val="32"/>
          <w:szCs w:val="32"/>
          <w:lang w:val="en-US" w:eastAsia="zh-CN"/>
        </w:rPr>
        <w:t>在垃圾分类治理仿真中，研究人员将居民智能体划分为支持型、观望型、抵触型三类，依据</w:t>
      </w:r>
      <w:r>
        <w:rPr>
          <w:rFonts w:hint="eastAsia"/>
          <w:sz w:val="32"/>
          <w:szCs w:val="32"/>
          <w:lang w:val="en-US" w:eastAsia="zh-CN"/>
        </w:rPr>
        <w:t>计划行为理论</w:t>
      </w:r>
      <w:r>
        <w:rPr>
          <w:rFonts w:hint="default"/>
          <w:sz w:val="32"/>
          <w:szCs w:val="32"/>
          <w:lang w:val="en-US" w:eastAsia="zh-CN"/>
        </w:rPr>
        <w:t>设定不同群体的决策参数：支持型智能体态度积极、主观规范约束力强，主动践行垃圾分类；观望型智能体受邻里行为影响较大，需外部引导转变行为；抵触型智能体感知行为控制较弱，排斥政策要求。通过多智能体模拟推演不同宣传力度、奖惩机制下的群体行为演变，精准预判政策执行瓶颈，为制定差异化引导策略、提升政策落地效率提供实证支撑。相较于纯技术模拟，该融合模型更贴合人类真实决策逻辑，避免仿真结果与现实脱节。</w:t>
      </w:r>
    </w:p>
    <w:p w14:paraId="3C26436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r>
        <w:rPr>
          <w:rFonts w:hint="eastAsia" w:ascii="楷体" w:hAnsi="楷体" w:eastAsia="楷体" w:cs="楷体"/>
          <w:sz w:val="32"/>
          <w:szCs w:val="32"/>
          <w:lang w:val="en-US" w:eastAsia="zh-CN"/>
        </w:rPr>
        <w:t>（二）期望确认理论与多智能体模拟：公共服务满意度动态追踪</w:t>
      </w:r>
    </w:p>
    <w:p w14:paraId="5B10E7D8">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sz w:val="32"/>
          <w:szCs w:val="32"/>
          <w:lang w:val="en-US" w:eastAsia="zh-CN"/>
        </w:rPr>
      </w:pPr>
      <w:r>
        <w:rPr>
          <w:rFonts w:hint="default"/>
          <w:sz w:val="32"/>
          <w:szCs w:val="32"/>
          <w:lang w:val="en-US" w:eastAsia="zh-CN"/>
        </w:rPr>
        <w:t>期望确认理论是管理学服务领域核心模型，聚焦</w:t>
      </w:r>
      <w:r>
        <w:rPr>
          <w:rFonts w:hint="eastAsia"/>
          <w:sz w:val="32"/>
          <w:szCs w:val="32"/>
          <w:lang w:val="en-US" w:eastAsia="zh-CN"/>
        </w:rPr>
        <w:t>“</w:t>
      </w:r>
      <w:r>
        <w:rPr>
          <w:rFonts w:hint="default"/>
          <w:sz w:val="32"/>
          <w:szCs w:val="32"/>
          <w:lang w:val="en-US" w:eastAsia="zh-CN"/>
        </w:rPr>
        <w:t>初始期望</w:t>
      </w:r>
      <w:r>
        <w:rPr>
          <w:rFonts w:hint="eastAsia"/>
          <w:sz w:val="32"/>
          <w:szCs w:val="32"/>
          <w:lang w:val="en-US" w:eastAsia="zh-CN"/>
        </w:rPr>
        <w:t>、</w:t>
      </w:r>
      <w:r>
        <w:rPr>
          <w:rFonts w:hint="default"/>
          <w:sz w:val="32"/>
          <w:szCs w:val="32"/>
          <w:lang w:val="en-US" w:eastAsia="zh-CN"/>
        </w:rPr>
        <w:t>感知绩效</w:t>
      </w:r>
      <w:r>
        <w:rPr>
          <w:rFonts w:hint="eastAsia"/>
          <w:sz w:val="32"/>
          <w:szCs w:val="32"/>
          <w:lang w:val="en-US" w:eastAsia="zh-CN"/>
        </w:rPr>
        <w:t>、</w:t>
      </w:r>
      <w:r>
        <w:rPr>
          <w:rFonts w:hint="default"/>
          <w:sz w:val="32"/>
          <w:szCs w:val="32"/>
          <w:lang w:val="en-US" w:eastAsia="zh-CN"/>
        </w:rPr>
        <w:t>确认程度</w:t>
      </w:r>
      <w:r>
        <w:rPr>
          <w:rFonts w:hint="eastAsia"/>
          <w:sz w:val="32"/>
          <w:szCs w:val="32"/>
          <w:lang w:val="en-US" w:eastAsia="zh-CN"/>
        </w:rPr>
        <w:t>、</w:t>
      </w:r>
      <w:r>
        <w:rPr>
          <w:rFonts w:hint="default"/>
          <w:sz w:val="32"/>
          <w:szCs w:val="32"/>
          <w:lang w:val="en-US" w:eastAsia="zh-CN"/>
        </w:rPr>
        <w:t>满意度</w:t>
      </w:r>
      <w:r>
        <w:rPr>
          <w:rFonts w:hint="eastAsia"/>
          <w:sz w:val="32"/>
          <w:szCs w:val="32"/>
          <w:lang w:val="en-US" w:eastAsia="zh-CN"/>
        </w:rPr>
        <w:t>、</w:t>
      </w:r>
      <w:r>
        <w:rPr>
          <w:rFonts w:hint="default"/>
          <w:sz w:val="32"/>
          <w:szCs w:val="32"/>
          <w:lang w:val="en-US" w:eastAsia="zh-CN"/>
        </w:rPr>
        <w:t>持续使用意愿</w:t>
      </w:r>
      <w:r>
        <w:rPr>
          <w:rFonts w:hint="eastAsia"/>
          <w:sz w:val="32"/>
          <w:szCs w:val="32"/>
          <w:lang w:val="en-US" w:eastAsia="zh-CN"/>
        </w:rPr>
        <w:t>”</w:t>
      </w:r>
      <w:r>
        <w:rPr>
          <w:rFonts w:hint="default"/>
          <w:sz w:val="32"/>
          <w:szCs w:val="32"/>
          <w:lang w:val="en-US" w:eastAsia="zh-CN"/>
        </w:rPr>
        <w:t>的传导链条，于乐刚等人的研究正是该理论与多智能体模拟融合的典型实践。在此基础上，延伸拓展至政务服务、医疗公共服务等场景：构建政务服务大厅多智能体仿真系统，将办事群众、窗口工作人员、管理人员建模为不同智能体，嵌入期望确认理论参数。</w:t>
      </w:r>
    </w:p>
    <w:p w14:paraId="4423E239">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sz w:val="32"/>
          <w:szCs w:val="32"/>
          <w:lang w:val="en-US" w:eastAsia="zh-CN"/>
        </w:rPr>
      </w:pPr>
      <w:r>
        <w:rPr>
          <w:rFonts w:hint="default"/>
          <w:sz w:val="32"/>
          <w:szCs w:val="32"/>
          <w:lang w:val="en-US" w:eastAsia="zh-CN"/>
        </w:rPr>
        <w:t>群众智能体依据办事效率、服务态度等感知绩效，对比初始期望形成确认判断，进而生成满意度评分，并通过社交互动传播评价；工作人员智能体根据群众反馈调整服务行为，形成动态闭环。该模型可模拟不同窗口配置、流程优化方案下的群众满意度变化，帮助政府部门精准定位服务短板，实现公共服务的精细化升级。相较于传统问卷调查，多智能体模拟能实现长期动态追踪，还原满意度演变的全过程。</w:t>
      </w:r>
    </w:p>
    <w:p w14:paraId="3F58DD4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（三）利益相关者理论与多智能体模拟：城市更新协同治理</w:t>
      </w:r>
    </w:p>
    <w:p w14:paraId="15BEB70B">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sz w:val="32"/>
          <w:szCs w:val="32"/>
          <w:lang w:val="en-US" w:eastAsia="zh-CN"/>
        </w:rPr>
      </w:pPr>
      <w:r>
        <w:rPr>
          <w:rFonts w:hint="default"/>
          <w:sz w:val="32"/>
          <w:szCs w:val="32"/>
          <w:lang w:val="en-US" w:eastAsia="zh-CN"/>
        </w:rPr>
        <w:t>利益相关者理论是管理学公共治理领域的经典理论，强调政府、企业、居民、社会组织等多方主体的利益协同。在城市更新治理仿真中，研究人员依托该理论构建多智能体协同模型，将各类利益相关者建模为独立智能体，设定差异化利益诉求：政府智能体追求城市发展、公共利益最大化；企业智能体侧重经济效益；居民智能体关注居住环境、补偿标准；社区智能体侧重矛盾协调。</w:t>
      </w:r>
    </w:p>
    <w:p w14:paraId="5896A1BD">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sz w:val="32"/>
          <w:szCs w:val="32"/>
          <w:lang w:val="en-US" w:eastAsia="zh-CN"/>
        </w:rPr>
      </w:pPr>
      <w:r>
        <w:rPr>
          <w:rFonts w:hint="default"/>
          <w:sz w:val="32"/>
          <w:szCs w:val="32"/>
          <w:lang w:val="en-US" w:eastAsia="zh-CN"/>
        </w:rPr>
        <w:t>通过模拟多方智能体的博弈、协商与互动过程，推演不同拆迁补偿方案、公共设施配置策略下的利益冲突概率与治理成效，提前规避矛盾激化风险，优化协同治理方案。该融合案例打破单一主体模拟的局限性，还原公共治理中多方博弈的真实场景，为城市更新、片区改造等复杂治理项目提供决策参考。</w:t>
      </w:r>
    </w:p>
    <w:p w14:paraId="3A0B674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r>
        <w:rPr>
          <w:rFonts w:hint="eastAsia"/>
          <w:sz w:val="32"/>
          <w:szCs w:val="32"/>
          <w:lang w:val="en-US" w:eastAsia="zh-CN"/>
        </w:rPr>
        <w:t>（四）</w:t>
      </w:r>
      <w:r>
        <w:rPr>
          <w:rFonts w:hint="default"/>
          <w:sz w:val="32"/>
          <w:szCs w:val="32"/>
          <w:lang w:val="en-US" w:eastAsia="zh-CN"/>
        </w:rPr>
        <w:t>有限理性理论</w:t>
      </w:r>
      <w:r>
        <w:rPr>
          <w:rFonts w:hint="eastAsia"/>
          <w:sz w:val="32"/>
          <w:szCs w:val="32"/>
          <w:lang w:val="en-US" w:eastAsia="zh-CN"/>
        </w:rPr>
        <w:t>与</w:t>
      </w:r>
      <w:r>
        <w:rPr>
          <w:rFonts w:hint="default"/>
          <w:sz w:val="32"/>
          <w:szCs w:val="32"/>
          <w:lang w:val="en-US" w:eastAsia="zh-CN"/>
        </w:rPr>
        <w:t>多智能体模拟：社会舆情演化仿真</w:t>
      </w:r>
    </w:p>
    <w:p w14:paraId="725F05B2">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sz w:val="32"/>
          <w:szCs w:val="32"/>
          <w:lang w:val="en-US" w:eastAsia="zh-CN"/>
        </w:rPr>
      </w:pPr>
      <w:r>
        <w:rPr>
          <w:rFonts w:hint="default"/>
          <w:sz w:val="32"/>
          <w:szCs w:val="32"/>
          <w:lang w:val="en-US" w:eastAsia="zh-CN"/>
        </w:rPr>
        <w:t>西蒙的有限理性理论是心理学与管理学交叉成果，指出个体决策受认知水平、信息获取、情绪状态制约，并非完全理性。在公共舆情治理领域，研究人员基于该理论构建舆情传播多智能体模型，将网民划分为理性思辨型、情绪盲从型、中立观望型智能体，设定有限理性决策规则：理性智能体核实信息真伪后再传播；情绪型智能体受负面情绪驱动快速转发；中立智能体随群体倾向转变立场。</w:t>
      </w:r>
    </w:p>
    <w:p w14:paraId="0080BBBF">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sz w:val="32"/>
          <w:szCs w:val="32"/>
          <w:lang w:val="en-US" w:eastAsia="zh-CN"/>
        </w:rPr>
      </w:pPr>
      <w:r>
        <w:rPr>
          <w:rFonts w:hint="default"/>
          <w:sz w:val="32"/>
          <w:szCs w:val="32"/>
          <w:lang w:val="en-US" w:eastAsia="zh-CN"/>
        </w:rPr>
        <w:t>模拟舆情发酵、扩散、平息的全过程，分析官方发声时机、意见领袖引导、谣言辟谣策略对舆情走向的影响，帮助政府部门制定精准的舆情管控方案。该融合模型克服了传统舆情模拟</w:t>
      </w:r>
      <w:r>
        <w:rPr>
          <w:rFonts w:hint="eastAsia"/>
          <w:sz w:val="32"/>
          <w:szCs w:val="32"/>
          <w:lang w:val="en-US" w:eastAsia="zh-CN"/>
        </w:rPr>
        <w:t>“</w:t>
      </w:r>
      <w:r>
        <w:rPr>
          <w:rFonts w:hint="default"/>
          <w:sz w:val="32"/>
          <w:szCs w:val="32"/>
          <w:lang w:val="en-US" w:eastAsia="zh-CN"/>
        </w:rPr>
        <w:t>理性人</w:t>
      </w:r>
      <w:r>
        <w:rPr>
          <w:rFonts w:hint="eastAsia"/>
          <w:sz w:val="32"/>
          <w:szCs w:val="32"/>
          <w:lang w:val="en-US" w:eastAsia="zh-CN"/>
        </w:rPr>
        <w:t>”</w:t>
      </w:r>
      <w:r>
        <w:rPr>
          <w:rFonts w:hint="default"/>
          <w:sz w:val="32"/>
          <w:szCs w:val="32"/>
          <w:lang w:val="en-US" w:eastAsia="zh-CN"/>
        </w:rPr>
        <w:t>假设的缺陷，更贴合现实网络生态，提升舆情预判的准确性。</w:t>
      </w:r>
    </w:p>
    <w:p w14:paraId="0B39A80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2494699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heme="minorHAnsi" w:hAnsiTheme="minorHAnsi" w:eastAsiaTheme="minorEastAsia" w:cstheme="minorBidi"/>
          <w:b/>
          <w:bCs/>
          <w:kern w:val="2"/>
          <w:sz w:val="36"/>
          <w:szCs w:val="36"/>
          <w:lang w:val="en-US" w:eastAsia="zh-CN" w:bidi="ar-SA"/>
        </w:rPr>
      </w:pPr>
      <w:r>
        <w:rPr>
          <w:rFonts w:hint="eastAsia" w:cstheme="minorBidi"/>
          <w:b/>
          <w:bCs/>
          <w:kern w:val="2"/>
          <w:sz w:val="36"/>
          <w:szCs w:val="36"/>
          <w:lang w:val="en-US" w:eastAsia="zh-CN" w:bidi="ar-SA"/>
        </w:rPr>
        <w:t>五</w:t>
      </w:r>
      <w:r>
        <w:rPr>
          <w:rFonts w:hint="eastAsia" w:asciiTheme="minorHAnsi" w:hAnsiTheme="minorHAnsi" w:eastAsiaTheme="minorEastAsia" w:cstheme="minorBidi"/>
          <w:b/>
          <w:bCs/>
          <w:kern w:val="2"/>
          <w:sz w:val="36"/>
          <w:szCs w:val="36"/>
          <w:lang w:val="en-US" w:eastAsia="zh-CN" w:bidi="ar-SA"/>
        </w:rPr>
        <w:t>、核心挑战：方法论的困境与处路</w:t>
      </w:r>
    </w:p>
    <w:p w14:paraId="013E5337">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sz w:val="32"/>
          <w:szCs w:val="32"/>
          <w:lang w:val="en-US" w:eastAsia="zh-CN"/>
        </w:rPr>
      </w:pPr>
      <w:r>
        <w:rPr>
          <w:rFonts w:hint="eastAsia"/>
          <w:sz w:val="32"/>
          <w:szCs w:val="32"/>
          <w:lang w:val="en-US" w:eastAsia="zh-CN"/>
        </w:rPr>
        <w:t>尽管智能体模拟在公共管理领域展现出巨大潜力，但其科学严谨性和实际应用价值仍面临着严峻挑战，其中最核心的是模型的有效性与验证问题。拉鲁伊和特恩伯格在其系统综述中对此进行了深刻的剖析。他们指出，生成式智能体虽然提升了行为真实性，但同时也引入了新的验证难题，大语言模型的黑箱特性、文化偏见、随机输出以及高昂的计算成本，使得理解、复现和校准模拟结果变得异常困难。他们发现，当前许多研究仍依赖表面效度或与松散的宏观模式进行比对，缺乏与真实数据的严格校准和对模型稳健性的充分检验。这导致其处于一个尴尬的位置：既缺乏传统形式化模型的简洁性，又缺乏数据驱动方法的经验有效性。因此，该领域若想对社会科学做出有意义的贡献，必须在验证方法上取得突破，要么发展更严格的实证校准流程，要么证明其在特定情境下的泛化能力，甚至需要探索其作为全新的方法论类型的独特价值。[8]</w:t>
      </w:r>
    </w:p>
    <w:p w14:paraId="6F7C4CE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sz w:val="32"/>
          <w:szCs w:val="32"/>
          <w:lang w:val="en-US" w:eastAsia="zh-CN"/>
        </w:rPr>
      </w:pPr>
    </w:p>
    <w:p w14:paraId="506D31D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heme="minorHAnsi" w:hAnsiTheme="minorHAnsi" w:eastAsiaTheme="minorEastAsia" w:cstheme="minorBidi"/>
          <w:b/>
          <w:bCs/>
          <w:kern w:val="2"/>
          <w:sz w:val="36"/>
          <w:szCs w:val="36"/>
          <w:lang w:val="en-US" w:eastAsia="zh-CN" w:bidi="ar-SA"/>
        </w:rPr>
      </w:pPr>
      <w:r>
        <w:rPr>
          <w:rFonts w:hint="eastAsia" w:cstheme="minorBidi"/>
          <w:b/>
          <w:bCs/>
          <w:kern w:val="2"/>
          <w:sz w:val="36"/>
          <w:szCs w:val="36"/>
          <w:lang w:val="en-US" w:eastAsia="zh-CN" w:bidi="ar-SA"/>
        </w:rPr>
        <w:t>六</w:t>
      </w:r>
      <w:r>
        <w:rPr>
          <w:rFonts w:hint="eastAsia" w:asciiTheme="minorHAnsi" w:hAnsiTheme="minorHAnsi" w:eastAsiaTheme="minorEastAsia" w:cstheme="minorBidi"/>
          <w:b/>
          <w:bCs/>
          <w:kern w:val="2"/>
          <w:sz w:val="36"/>
          <w:szCs w:val="36"/>
          <w:lang w:val="en-US" w:eastAsia="zh-CN" w:bidi="ar-SA"/>
        </w:rPr>
        <w:t>、结论与展望</w:t>
      </w:r>
    </w:p>
    <w:p w14:paraId="271B7D9B">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sz w:val="32"/>
          <w:szCs w:val="32"/>
          <w:lang w:val="en-US" w:eastAsia="zh-CN"/>
        </w:rPr>
      </w:pPr>
      <w:r>
        <w:rPr>
          <w:rFonts w:hint="eastAsia"/>
          <w:sz w:val="32"/>
          <w:szCs w:val="32"/>
          <w:lang w:val="en-US" w:eastAsia="zh-CN"/>
        </w:rPr>
        <w:t>结合这十篇论文，我们可以清晰地看到多智能体模拟正在朝着更加智能化、拟人化和复杂化的方向演进，来深度赋能公共管理领域。一方面，智能体系统能够作为流程优化者和信息识别者，提升政府治理效率和透明度；另一方面，它们也是一个实验室，帮助模拟和理解阶层固化、集体行动、公民满意度等宏观社会现象的内在机理。</w:t>
      </w:r>
    </w:p>
    <w:p w14:paraId="2768BB52">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default"/>
          <w:sz w:val="32"/>
          <w:szCs w:val="32"/>
          <w:lang w:val="en-US" w:eastAsia="zh-CN"/>
        </w:rPr>
      </w:pPr>
      <w:r>
        <w:rPr>
          <w:rFonts w:hint="eastAsia"/>
          <w:sz w:val="32"/>
          <w:szCs w:val="32"/>
          <w:lang w:val="en-US" w:eastAsia="zh-CN"/>
        </w:rPr>
        <w:t>但是</w:t>
      </w:r>
      <w:r>
        <w:rPr>
          <w:rFonts w:hint="default"/>
          <w:sz w:val="32"/>
          <w:szCs w:val="32"/>
          <w:lang w:val="en-US" w:eastAsia="zh-CN"/>
        </w:rPr>
        <w:t>，</w:t>
      </w:r>
      <w:r>
        <w:rPr>
          <w:rFonts w:hint="eastAsia"/>
          <w:sz w:val="32"/>
          <w:szCs w:val="32"/>
          <w:lang w:val="en-US" w:eastAsia="zh-CN"/>
        </w:rPr>
        <w:t>我们同时需要关注</w:t>
      </w:r>
      <w:r>
        <w:rPr>
          <w:rFonts w:hint="default"/>
          <w:sz w:val="32"/>
          <w:szCs w:val="32"/>
          <w:lang w:val="en-US" w:eastAsia="zh-CN"/>
        </w:rPr>
        <w:t>如何证明我们模拟出的社会是真实的</w:t>
      </w:r>
      <w:r>
        <w:rPr>
          <w:rFonts w:hint="eastAsia"/>
          <w:sz w:val="32"/>
          <w:szCs w:val="32"/>
          <w:lang w:val="en-US" w:eastAsia="zh-CN"/>
        </w:rPr>
        <w:t>？</w:t>
      </w:r>
      <w:r>
        <w:rPr>
          <w:rFonts w:hint="default"/>
          <w:sz w:val="32"/>
          <w:szCs w:val="32"/>
          <w:lang w:val="en-US" w:eastAsia="zh-CN"/>
        </w:rPr>
        <w:t>拉鲁伊和特恩伯格的研究</w:t>
      </w:r>
      <w:r>
        <w:rPr>
          <w:rFonts w:hint="eastAsia"/>
          <w:sz w:val="32"/>
          <w:szCs w:val="32"/>
          <w:lang w:val="en-US" w:eastAsia="zh-CN"/>
        </w:rPr>
        <w:t>说明</w:t>
      </w:r>
      <w:r>
        <w:rPr>
          <w:rFonts w:hint="default"/>
          <w:sz w:val="32"/>
          <w:szCs w:val="32"/>
          <w:lang w:val="en-US" w:eastAsia="zh-CN"/>
        </w:rPr>
        <w:t>在追求模型复杂性的同时，不能牺牲有效性验证。未来的研究，</w:t>
      </w:r>
      <w:r>
        <w:rPr>
          <w:rFonts w:hint="eastAsia"/>
          <w:sz w:val="32"/>
          <w:szCs w:val="32"/>
          <w:lang w:val="en-US" w:eastAsia="zh-CN"/>
        </w:rPr>
        <w:t>需要</w:t>
      </w:r>
      <w:r>
        <w:rPr>
          <w:rFonts w:hint="default"/>
          <w:sz w:val="32"/>
          <w:szCs w:val="32"/>
          <w:lang w:val="en-US" w:eastAsia="zh-CN"/>
        </w:rPr>
        <w:t>加强跨学科合作，将社会学的经典理论与智能体的行为模型深度融合，确保模拟的机制而非仅仅是结果具有解释力</w:t>
      </w:r>
      <w:r>
        <w:rPr>
          <w:rFonts w:hint="eastAsia"/>
          <w:sz w:val="32"/>
          <w:szCs w:val="32"/>
          <w:lang w:val="en-US" w:eastAsia="zh-CN"/>
        </w:rPr>
        <w:t>；同时要</w:t>
      </w:r>
      <w:r>
        <w:rPr>
          <w:rFonts w:hint="default"/>
          <w:sz w:val="32"/>
          <w:szCs w:val="32"/>
          <w:lang w:val="en-US" w:eastAsia="zh-CN"/>
        </w:rPr>
        <w:t>正视计算成本问题，探索更高效的算法和开源协作模式。</w:t>
      </w:r>
    </w:p>
    <w:p w14:paraId="4CC3E06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23E45C3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3FCCF6F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0E828E0A">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7EA0FBC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22C82CD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0F2F64A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52696A5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28C2A40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504B36B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2A7C653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0E50E28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5E72B88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4D39AB3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061D79B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36FD09F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0B63163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6DF095B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710C48A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7D641B7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32"/>
          <w:szCs w:val="32"/>
          <w:lang w:val="en-US" w:eastAsia="zh-CN"/>
        </w:rPr>
      </w:pPr>
    </w:p>
    <w:p w14:paraId="34C023C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参考文献：</w:t>
      </w:r>
    </w:p>
    <w:p w14:paraId="682DD12D">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eastAsia" w:asciiTheme="minorHAnsi" w:hAnsiTheme="minorHAnsi" w:eastAsiaTheme="minorEastAsia" w:cstheme="minorBidi"/>
          <w:kern w:val="2"/>
          <w:sz w:val="32"/>
          <w:szCs w:val="32"/>
          <w:lang w:val="en-US" w:eastAsia="zh-CN" w:bidi="ar-SA"/>
        </w:rPr>
      </w:pPr>
      <w:r>
        <w:rPr>
          <w:rFonts w:hint="eastAsia" w:asciiTheme="minorHAnsi" w:hAnsiTheme="minorHAnsi" w:eastAsiaTheme="minorEastAsia" w:cstheme="minorBidi"/>
          <w:kern w:val="2"/>
          <w:sz w:val="32"/>
          <w:szCs w:val="32"/>
          <w:lang w:val="en-US" w:eastAsia="zh-CN" w:bidi="ar-SA"/>
        </w:rPr>
        <w:t xml:space="preserve">Munoz-Balanca,R.,Mengesha,A. M., Negash, E. A., Herrero-Martin, P., &amp; Garcia-Garcia, M. S. (2025). A Multi-Agent Deep Reinforcement Learning System for Governmental Interoperability. Applied Sciences, *15*(6), 3146. </w:t>
      </w:r>
      <w:r>
        <w:rPr>
          <w:rFonts w:hint="eastAsia" w:asciiTheme="minorHAnsi" w:hAnsiTheme="minorHAnsi" w:eastAsiaTheme="minorEastAsia" w:cstheme="minorBidi"/>
          <w:kern w:val="2"/>
          <w:sz w:val="32"/>
          <w:szCs w:val="32"/>
          <w:lang w:val="en-US" w:eastAsia="zh-CN" w:bidi="ar-SA"/>
        </w:rPr>
        <w:fldChar w:fldCharType="begin"/>
      </w:r>
      <w:r>
        <w:rPr>
          <w:rFonts w:hint="eastAsia" w:asciiTheme="minorHAnsi" w:hAnsiTheme="minorHAnsi" w:eastAsiaTheme="minorEastAsia" w:cstheme="minorBidi"/>
          <w:kern w:val="2"/>
          <w:sz w:val="32"/>
          <w:szCs w:val="32"/>
          <w:lang w:val="en-US" w:eastAsia="zh-CN" w:bidi="ar-SA"/>
        </w:rPr>
        <w:instrText xml:space="preserve"> HYPERLINK "https://doi.org/10.3390/app15063146" </w:instrText>
      </w:r>
      <w:r>
        <w:rPr>
          <w:rFonts w:hint="eastAsia" w:asciiTheme="minorHAnsi" w:hAnsiTheme="minorHAnsi" w:eastAsiaTheme="minorEastAsia" w:cstheme="minorBidi"/>
          <w:kern w:val="2"/>
          <w:sz w:val="32"/>
          <w:szCs w:val="32"/>
          <w:lang w:val="en-US" w:eastAsia="zh-CN" w:bidi="ar-SA"/>
        </w:rPr>
        <w:fldChar w:fldCharType="separate"/>
      </w:r>
      <w:r>
        <w:rPr>
          <w:rStyle w:val="4"/>
          <w:rFonts w:hint="eastAsia" w:asciiTheme="minorHAnsi" w:hAnsiTheme="minorHAnsi" w:eastAsiaTheme="minorEastAsia" w:cstheme="minorBidi"/>
          <w:kern w:val="2"/>
          <w:sz w:val="32"/>
          <w:szCs w:val="32"/>
          <w:lang w:val="en-US" w:eastAsia="zh-CN" w:bidi="ar-SA"/>
        </w:rPr>
        <w:t>https://doi.org/10.3390/app15063146</w:t>
      </w:r>
      <w:r>
        <w:rPr>
          <w:rFonts w:hint="eastAsia" w:asciiTheme="minorHAnsi" w:hAnsiTheme="minorHAnsi" w:eastAsiaTheme="minorEastAsia" w:cstheme="minorBidi"/>
          <w:kern w:val="2"/>
          <w:sz w:val="32"/>
          <w:szCs w:val="32"/>
          <w:lang w:val="en-US" w:eastAsia="zh-CN" w:bidi="ar-SA"/>
        </w:rPr>
        <w:fldChar w:fldCharType="end"/>
      </w:r>
    </w:p>
    <w:p w14:paraId="64D0ED2D">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32"/>
          <w:szCs w:val="32"/>
          <w:lang w:val="en-US" w:eastAsia="zh-CN" w:bidi="ar-SA"/>
        </w:rPr>
      </w:pPr>
      <w:r>
        <w:rPr>
          <w:rFonts w:hint="default" w:asciiTheme="minorHAnsi" w:hAnsiTheme="minorHAnsi" w:eastAsiaTheme="minorEastAsia" w:cstheme="minorBidi"/>
          <w:kern w:val="2"/>
          <w:sz w:val="32"/>
          <w:szCs w:val="32"/>
          <w:lang w:val="en-US" w:eastAsia="zh-CN" w:bidi="ar-SA"/>
        </w:rPr>
        <w:t xml:space="preserve">Flores, N., Ramirez, C., &amp; Mauricio, D. (2025). Expert Multi-Agent Conversational System Using Retrieval—Augmented Generation and Dynamic Text—to—SQL for Government Transparency. IEEE Access, *13*, 198178-198200. </w:t>
      </w:r>
      <w:r>
        <w:rPr>
          <w:rFonts w:hint="default" w:asciiTheme="minorHAnsi" w:hAnsiTheme="minorHAnsi" w:eastAsiaTheme="minorEastAsia" w:cstheme="minorBidi"/>
          <w:kern w:val="2"/>
          <w:sz w:val="32"/>
          <w:szCs w:val="32"/>
          <w:lang w:val="en-US" w:eastAsia="zh-CN" w:bidi="ar-SA"/>
        </w:rPr>
        <w:fldChar w:fldCharType="begin"/>
      </w:r>
      <w:r>
        <w:rPr>
          <w:rFonts w:hint="default" w:asciiTheme="minorHAnsi" w:hAnsiTheme="minorHAnsi" w:eastAsiaTheme="minorEastAsia" w:cstheme="minorBidi"/>
          <w:kern w:val="2"/>
          <w:sz w:val="32"/>
          <w:szCs w:val="32"/>
          <w:lang w:val="en-US" w:eastAsia="zh-CN" w:bidi="ar-SA"/>
        </w:rPr>
        <w:instrText xml:space="preserve"> HYPERLINK "https://doi.org/10.1109/ACCESS.2025.3635530" </w:instrText>
      </w:r>
      <w:r>
        <w:rPr>
          <w:rFonts w:hint="default" w:asciiTheme="minorHAnsi" w:hAnsiTheme="minorHAnsi" w:eastAsiaTheme="minorEastAsia" w:cstheme="minorBidi"/>
          <w:kern w:val="2"/>
          <w:sz w:val="32"/>
          <w:szCs w:val="32"/>
          <w:lang w:val="en-US" w:eastAsia="zh-CN" w:bidi="ar-SA"/>
        </w:rPr>
        <w:fldChar w:fldCharType="separate"/>
      </w:r>
      <w:r>
        <w:rPr>
          <w:rStyle w:val="4"/>
          <w:rFonts w:hint="default" w:asciiTheme="minorHAnsi" w:hAnsiTheme="minorHAnsi" w:eastAsiaTheme="minorEastAsia" w:cstheme="minorBidi"/>
          <w:kern w:val="2"/>
          <w:sz w:val="32"/>
          <w:szCs w:val="32"/>
          <w:lang w:val="en-US" w:eastAsia="zh-CN" w:bidi="ar-SA"/>
        </w:rPr>
        <w:t>https://doi.org/10.1109/ACCESS.2025.3635530</w:t>
      </w:r>
      <w:r>
        <w:rPr>
          <w:rFonts w:hint="default" w:asciiTheme="minorHAnsi" w:hAnsiTheme="minorHAnsi" w:eastAsiaTheme="minorEastAsia" w:cstheme="minorBidi"/>
          <w:kern w:val="2"/>
          <w:sz w:val="32"/>
          <w:szCs w:val="32"/>
          <w:lang w:val="en-US" w:eastAsia="zh-CN" w:bidi="ar-SA"/>
        </w:rPr>
        <w:fldChar w:fldCharType="end"/>
      </w:r>
    </w:p>
    <w:p w14:paraId="7B096847">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32"/>
          <w:szCs w:val="32"/>
          <w:lang w:val="en-US" w:eastAsia="zh-CN" w:bidi="ar-SA"/>
        </w:rPr>
      </w:pPr>
      <w:r>
        <w:rPr>
          <w:rFonts w:hint="default" w:asciiTheme="minorHAnsi" w:hAnsiTheme="minorHAnsi" w:eastAsiaTheme="minorEastAsia" w:cstheme="minorBidi"/>
          <w:kern w:val="2"/>
          <w:sz w:val="32"/>
          <w:szCs w:val="32"/>
          <w:lang w:val="en-US" w:eastAsia="zh-CN" w:bidi="ar-SA"/>
        </w:rPr>
        <w:t xml:space="preserve">Papageorgiou, G., Sarlis, V., Maragoudakis, M., &amp; Tjortjis, C. (2025). Hybrid Multi-Agent GraphRAG for E-Government: Towards a Trustworthy AI Assistant. Applied Sciences, *15*(11), 6315. </w:t>
      </w:r>
      <w:r>
        <w:rPr>
          <w:rFonts w:hint="default" w:asciiTheme="minorHAnsi" w:hAnsiTheme="minorHAnsi" w:eastAsiaTheme="minorEastAsia" w:cstheme="minorBidi"/>
          <w:kern w:val="2"/>
          <w:sz w:val="32"/>
          <w:szCs w:val="32"/>
          <w:lang w:val="en-US" w:eastAsia="zh-CN" w:bidi="ar-SA"/>
        </w:rPr>
        <w:fldChar w:fldCharType="begin"/>
      </w:r>
      <w:r>
        <w:rPr>
          <w:rFonts w:hint="default" w:asciiTheme="minorHAnsi" w:hAnsiTheme="minorHAnsi" w:eastAsiaTheme="minorEastAsia" w:cstheme="minorBidi"/>
          <w:kern w:val="2"/>
          <w:sz w:val="32"/>
          <w:szCs w:val="32"/>
          <w:lang w:val="en-US" w:eastAsia="zh-CN" w:bidi="ar-SA"/>
        </w:rPr>
        <w:instrText xml:space="preserve"> HYPERLINK "https://doi.org/10.3390/app15116315" </w:instrText>
      </w:r>
      <w:r>
        <w:rPr>
          <w:rFonts w:hint="default" w:asciiTheme="minorHAnsi" w:hAnsiTheme="minorHAnsi" w:eastAsiaTheme="minorEastAsia" w:cstheme="minorBidi"/>
          <w:kern w:val="2"/>
          <w:sz w:val="32"/>
          <w:szCs w:val="32"/>
          <w:lang w:val="en-US" w:eastAsia="zh-CN" w:bidi="ar-SA"/>
        </w:rPr>
        <w:fldChar w:fldCharType="separate"/>
      </w:r>
      <w:r>
        <w:rPr>
          <w:rStyle w:val="4"/>
          <w:rFonts w:hint="default" w:asciiTheme="minorHAnsi" w:hAnsiTheme="minorHAnsi" w:eastAsiaTheme="minorEastAsia" w:cstheme="minorBidi"/>
          <w:kern w:val="2"/>
          <w:sz w:val="32"/>
          <w:szCs w:val="32"/>
          <w:lang w:val="en-US" w:eastAsia="zh-CN" w:bidi="ar-SA"/>
        </w:rPr>
        <w:t>https://doi.org/10.3390/app15116315</w:t>
      </w:r>
      <w:r>
        <w:rPr>
          <w:rFonts w:hint="default" w:asciiTheme="minorHAnsi" w:hAnsiTheme="minorHAnsi" w:eastAsiaTheme="minorEastAsia" w:cstheme="minorBidi"/>
          <w:kern w:val="2"/>
          <w:sz w:val="32"/>
          <w:szCs w:val="32"/>
          <w:lang w:val="en-US" w:eastAsia="zh-CN" w:bidi="ar-SA"/>
        </w:rPr>
        <w:fldChar w:fldCharType="end"/>
      </w:r>
    </w:p>
    <w:p w14:paraId="5FC979C7">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32"/>
          <w:szCs w:val="32"/>
          <w:lang w:val="en-US" w:eastAsia="zh-CN" w:bidi="ar-SA"/>
        </w:rPr>
      </w:pPr>
      <w:r>
        <w:rPr>
          <w:rFonts w:hint="default" w:asciiTheme="minorHAnsi" w:hAnsiTheme="minorHAnsi" w:eastAsiaTheme="minorEastAsia" w:cstheme="minorBidi"/>
          <w:kern w:val="2"/>
          <w:sz w:val="32"/>
          <w:szCs w:val="32"/>
          <w:lang w:val="en-US" w:eastAsia="zh-CN" w:bidi="ar-SA"/>
        </w:rPr>
        <w:t xml:space="preserve">Sadurni, M., Perelló, J., &amp; Montero, M. (2025). Emergence of social hierarchies in a society with two competitive groups. Chaos, Solitons &amp; Fractals, *199*, 116660. </w:t>
      </w:r>
      <w:r>
        <w:rPr>
          <w:rFonts w:hint="default" w:asciiTheme="minorHAnsi" w:hAnsiTheme="minorHAnsi" w:eastAsiaTheme="minorEastAsia" w:cstheme="minorBidi"/>
          <w:kern w:val="2"/>
          <w:sz w:val="32"/>
          <w:szCs w:val="32"/>
          <w:lang w:val="en-US" w:eastAsia="zh-CN" w:bidi="ar-SA"/>
        </w:rPr>
        <w:fldChar w:fldCharType="begin"/>
      </w:r>
      <w:r>
        <w:rPr>
          <w:rFonts w:hint="default" w:asciiTheme="minorHAnsi" w:hAnsiTheme="minorHAnsi" w:eastAsiaTheme="minorEastAsia" w:cstheme="minorBidi"/>
          <w:kern w:val="2"/>
          <w:sz w:val="32"/>
          <w:szCs w:val="32"/>
          <w:lang w:val="en-US" w:eastAsia="zh-CN" w:bidi="ar-SA"/>
        </w:rPr>
        <w:instrText xml:space="preserve"> HYPERLINK "https://doi.org/10.1016/j.chaos.2025.116660" </w:instrText>
      </w:r>
      <w:r>
        <w:rPr>
          <w:rFonts w:hint="default" w:asciiTheme="minorHAnsi" w:hAnsiTheme="minorHAnsi" w:eastAsiaTheme="minorEastAsia" w:cstheme="minorBidi"/>
          <w:kern w:val="2"/>
          <w:sz w:val="32"/>
          <w:szCs w:val="32"/>
          <w:lang w:val="en-US" w:eastAsia="zh-CN" w:bidi="ar-SA"/>
        </w:rPr>
        <w:fldChar w:fldCharType="separate"/>
      </w:r>
      <w:r>
        <w:rPr>
          <w:rStyle w:val="4"/>
          <w:rFonts w:hint="default" w:asciiTheme="minorHAnsi" w:hAnsiTheme="minorHAnsi" w:eastAsiaTheme="minorEastAsia" w:cstheme="minorBidi"/>
          <w:kern w:val="2"/>
          <w:sz w:val="32"/>
          <w:szCs w:val="32"/>
          <w:lang w:val="en-US" w:eastAsia="zh-CN" w:bidi="ar-SA"/>
        </w:rPr>
        <w:t>https://doi.org/10.1016/j.chaos.2025.116660</w:t>
      </w:r>
      <w:r>
        <w:rPr>
          <w:rFonts w:hint="default" w:asciiTheme="minorHAnsi" w:hAnsiTheme="minorHAnsi" w:eastAsiaTheme="minorEastAsia" w:cstheme="minorBidi"/>
          <w:kern w:val="2"/>
          <w:sz w:val="32"/>
          <w:szCs w:val="32"/>
          <w:lang w:val="en-US" w:eastAsia="zh-CN" w:bidi="ar-SA"/>
        </w:rPr>
        <w:fldChar w:fldCharType="end"/>
      </w:r>
    </w:p>
    <w:p w14:paraId="7082E36C">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32"/>
          <w:szCs w:val="32"/>
          <w:lang w:val="en-US" w:eastAsia="zh-CN" w:bidi="ar-SA"/>
        </w:rPr>
      </w:pPr>
      <w:r>
        <w:rPr>
          <w:rFonts w:hint="default" w:asciiTheme="minorHAnsi" w:hAnsiTheme="minorHAnsi" w:eastAsiaTheme="minorEastAsia" w:cstheme="minorBidi"/>
          <w:kern w:val="2"/>
          <w:sz w:val="32"/>
          <w:szCs w:val="32"/>
          <w:lang w:val="en-US" w:eastAsia="zh-CN" w:bidi="ar-SA"/>
        </w:rPr>
        <w:t xml:space="preserve">Yu, L., Li, D., Zhou, S., &amp; Zhu, X. (2025). Agent-based simulation of citizens' satisfaction in smart cities. Simulation, *101*(1), 55-71. </w:t>
      </w:r>
      <w:r>
        <w:rPr>
          <w:rFonts w:hint="default" w:asciiTheme="minorHAnsi" w:hAnsiTheme="minorHAnsi" w:eastAsiaTheme="minorEastAsia" w:cstheme="minorBidi"/>
          <w:kern w:val="2"/>
          <w:sz w:val="32"/>
          <w:szCs w:val="32"/>
          <w:lang w:val="en-US" w:eastAsia="zh-CN" w:bidi="ar-SA"/>
        </w:rPr>
        <w:fldChar w:fldCharType="begin"/>
      </w:r>
      <w:r>
        <w:rPr>
          <w:rFonts w:hint="default" w:asciiTheme="minorHAnsi" w:hAnsiTheme="minorHAnsi" w:eastAsiaTheme="minorEastAsia" w:cstheme="minorBidi"/>
          <w:kern w:val="2"/>
          <w:sz w:val="32"/>
          <w:szCs w:val="32"/>
          <w:lang w:val="en-US" w:eastAsia="zh-CN" w:bidi="ar-SA"/>
        </w:rPr>
        <w:instrText xml:space="preserve"> HYPERLINK "https://doi.org/10.1177/00375497241265730" </w:instrText>
      </w:r>
      <w:r>
        <w:rPr>
          <w:rFonts w:hint="default" w:asciiTheme="minorHAnsi" w:hAnsiTheme="minorHAnsi" w:eastAsiaTheme="minorEastAsia" w:cstheme="minorBidi"/>
          <w:kern w:val="2"/>
          <w:sz w:val="32"/>
          <w:szCs w:val="32"/>
          <w:lang w:val="en-US" w:eastAsia="zh-CN" w:bidi="ar-SA"/>
        </w:rPr>
        <w:fldChar w:fldCharType="separate"/>
      </w:r>
      <w:r>
        <w:rPr>
          <w:rStyle w:val="4"/>
          <w:rFonts w:hint="default" w:asciiTheme="minorHAnsi" w:hAnsiTheme="minorHAnsi" w:eastAsiaTheme="minorEastAsia" w:cstheme="minorBidi"/>
          <w:kern w:val="2"/>
          <w:sz w:val="32"/>
          <w:szCs w:val="32"/>
          <w:lang w:val="en-US" w:eastAsia="zh-CN" w:bidi="ar-SA"/>
        </w:rPr>
        <w:t>https://doi.org/10.1177/00375497241265730</w:t>
      </w:r>
      <w:r>
        <w:rPr>
          <w:rFonts w:hint="default" w:asciiTheme="minorHAnsi" w:hAnsiTheme="minorHAnsi" w:eastAsiaTheme="minorEastAsia" w:cstheme="minorBidi"/>
          <w:kern w:val="2"/>
          <w:sz w:val="32"/>
          <w:szCs w:val="32"/>
          <w:lang w:val="en-US" w:eastAsia="zh-CN" w:bidi="ar-SA"/>
        </w:rPr>
        <w:fldChar w:fldCharType="end"/>
      </w:r>
    </w:p>
    <w:p w14:paraId="662EDF83">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32"/>
          <w:szCs w:val="32"/>
          <w:lang w:val="en-US" w:eastAsia="zh-CN" w:bidi="ar-SA"/>
        </w:rPr>
      </w:pPr>
      <w:r>
        <w:rPr>
          <w:rFonts w:hint="default" w:asciiTheme="minorHAnsi" w:hAnsiTheme="minorHAnsi" w:eastAsiaTheme="minorEastAsia" w:cstheme="minorBidi"/>
          <w:kern w:val="2"/>
          <w:sz w:val="32"/>
          <w:szCs w:val="32"/>
          <w:lang w:val="en-US" w:eastAsia="zh-CN" w:bidi="ar-SA"/>
        </w:rPr>
        <w:t xml:space="preserve">Chen, S., Bayiz, Y. E., Fridovich-Keil, D., &amp; Topcu, U. (2025). Relationship design for socially-aware behavior in static games. Autonomous Agents and Multi-Agent Systems, *39*(1), 15. </w:t>
      </w:r>
      <w:r>
        <w:rPr>
          <w:rFonts w:hint="default" w:asciiTheme="minorHAnsi" w:hAnsiTheme="minorHAnsi" w:eastAsiaTheme="minorEastAsia" w:cstheme="minorBidi"/>
          <w:kern w:val="2"/>
          <w:sz w:val="32"/>
          <w:szCs w:val="32"/>
          <w:lang w:val="en-US" w:eastAsia="zh-CN" w:bidi="ar-SA"/>
        </w:rPr>
        <w:fldChar w:fldCharType="begin"/>
      </w:r>
      <w:r>
        <w:rPr>
          <w:rFonts w:hint="default" w:asciiTheme="minorHAnsi" w:hAnsiTheme="minorHAnsi" w:eastAsiaTheme="minorEastAsia" w:cstheme="minorBidi"/>
          <w:kern w:val="2"/>
          <w:sz w:val="32"/>
          <w:szCs w:val="32"/>
          <w:lang w:val="en-US" w:eastAsia="zh-CN" w:bidi="ar-SA"/>
        </w:rPr>
        <w:instrText xml:space="preserve"> HYPERLINK "https://doi.org/10.1007/s10458-025-09701-1" </w:instrText>
      </w:r>
      <w:r>
        <w:rPr>
          <w:rFonts w:hint="default" w:asciiTheme="minorHAnsi" w:hAnsiTheme="minorHAnsi" w:eastAsiaTheme="minorEastAsia" w:cstheme="minorBidi"/>
          <w:kern w:val="2"/>
          <w:sz w:val="32"/>
          <w:szCs w:val="32"/>
          <w:lang w:val="en-US" w:eastAsia="zh-CN" w:bidi="ar-SA"/>
        </w:rPr>
        <w:fldChar w:fldCharType="separate"/>
      </w:r>
      <w:r>
        <w:rPr>
          <w:rStyle w:val="4"/>
          <w:rFonts w:hint="default" w:asciiTheme="minorHAnsi" w:hAnsiTheme="minorHAnsi" w:eastAsiaTheme="minorEastAsia" w:cstheme="minorBidi"/>
          <w:kern w:val="2"/>
          <w:sz w:val="32"/>
          <w:szCs w:val="32"/>
          <w:lang w:val="en-US" w:eastAsia="zh-CN" w:bidi="ar-SA"/>
        </w:rPr>
        <w:t>https://doi.org/10.1007/s10458-025-09701-1</w:t>
      </w:r>
      <w:r>
        <w:rPr>
          <w:rFonts w:hint="default" w:asciiTheme="minorHAnsi" w:hAnsiTheme="minorHAnsi" w:eastAsiaTheme="minorEastAsia" w:cstheme="minorBidi"/>
          <w:kern w:val="2"/>
          <w:sz w:val="32"/>
          <w:szCs w:val="32"/>
          <w:lang w:val="en-US" w:eastAsia="zh-CN" w:bidi="ar-SA"/>
        </w:rPr>
        <w:fldChar w:fldCharType="end"/>
      </w:r>
    </w:p>
    <w:p w14:paraId="5E31DD64">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32"/>
          <w:szCs w:val="32"/>
          <w:lang w:val="en-US" w:eastAsia="zh-CN" w:bidi="ar-SA"/>
        </w:rPr>
      </w:pPr>
      <w:r>
        <w:rPr>
          <w:rFonts w:hint="default" w:asciiTheme="minorHAnsi" w:hAnsiTheme="minorHAnsi" w:eastAsiaTheme="minorEastAsia" w:cstheme="minorBidi"/>
          <w:kern w:val="2"/>
          <w:sz w:val="32"/>
          <w:szCs w:val="32"/>
          <w:lang w:val="en-US" w:eastAsia="zh-CN" w:bidi="ar-SA"/>
        </w:rPr>
        <w:t xml:space="preserve">Balaji, M., &amp; Anitha, G. (2025). Toward Fairer and More Accurate Real-Time Pedestrian Attribute Recognition for Enhanced Women's Safety: A Domain-Adversarial Multi-Head Model With Agent-Based Reporting. IEEE Access, *13*, 141022-141038. </w:t>
      </w:r>
      <w:r>
        <w:rPr>
          <w:rFonts w:hint="default" w:asciiTheme="minorHAnsi" w:hAnsiTheme="minorHAnsi" w:eastAsiaTheme="minorEastAsia" w:cstheme="minorBidi"/>
          <w:kern w:val="2"/>
          <w:sz w:val="32"/>
          <w:szCs w:val="32"/>
          <w:lang w:val="en-US" w:eastAsia="zh-CN" w:bidi="ar-SA"/>
        </w:rPr>
        <w:fldChar w:fldCharType="begin"/>
      </w:r>
      <w:r>
        <w:rPr>
          <w:rFonts w:hint="default" w:asciiTheme="minorHAnsi" w:hAnsiTheme="minorHAnsi" w:eastAsiaTheme="minorEastAsia" w:cstheme="minorBidi"/>
          <w:kern w:val="2"/>
          <w:sz w:val="32"/>
          <w:szCs w:val="32"/>
          <w:lang w:val="en-US" w:eastAsia="zh-CN" w:bidi="ar-SA"/>
        </w:rPr>
        <w:instrText xml:space="preserve"> HYPERLINK "https://doi.org/10.1109/ACCESS.2025.3567890" </w:instrText>
      </w:r>
      <w:r>
        <w:rPr>
          <w:rFonts w:hint="default" w:asciiTheme="minorHAnsi" w:hAnsiTheme="minorHAnsi" w:eastAsiaTheme="minorEastAsia" w:cstheme="minorBidi"/>
          <w:kern w:val="2"/>
          <w:sz w:val="32"/>
          <w:szCs w:val="32"/>
          <w:lang w:val="en-US" w:eastAsia="zh-CN" w:bidi="ar-SA"/>
        </w:rPr>
        <w:fldChar w:fldCharType="separate"/>
      </w:r>
      <w:r>
        <w:rPr>
          <w:rStyle w:val="4"/>
          <w:rFonts w:hint="default" w:asciiTheme="minorHAnsi" w:hAnsiTheme="minorHAnsi" w:eastAsiaTheme="minorEastAsia" w:cstheme="minorBidi"/>
          <w:kern w:val="2"/>
          <w:sz w:val="32"/>
          <w:szCs w:val="32"/>
          <w:lang w:val="en-US" w:eastAsia="zh-CN" w:bidi="ar-SA"/>
        </w:rPr>
        <w:t>https://doi.org/10.1109/ACCESS.2025.35</w:t>
      </w:r>
      <w:r>
        <w:rPr>
          <w:rStyle w:val="4"/>
          <w:rFonts w:hint="eastAsia" w:cstheme="minorBidi"/>
          <w:kern w:val="2"/>
          <w:sz w:val="32"/>
          <w:szCs w:val="32"/>
          <w:lang w:val="en-US" w:eastAsia="zh-CN" w:bidi="ar-SA"/>
        </w:rPr>
        <w:t>92975</w:t>
      </w:r>
      <w:r>
        <w:rPr>
          <w:rFonts w:hint="default" w:asciiTheme="minorHAnsi" w:hAnsiTheme="minorHAnsi" w:eastAsiaTheme="minorEastAsia" w:cstheme="minorBidi"/>
          <w:kern w:val="2"/>
          <w:sz w:val="32"/>
          <w:szCs w:val="32"/>
          <w:lang w:val="en-US" w:eastAsia="zh-CN" w:bidi="ar-SA"/>
        </w:rPr>
        <w:fldChar w:fldCharType="end"/>
      </w:r>
    </w:p>
    <w:p w14:paraId="19E9EC82">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32"/>
          <w:szCs w:val="32"/>
          <w:lang w:val="en-US" w:eastAsia="zh-CN" w:bidi="ar-SA"/>
        </w:rPr>
      </w:pPr>
      <w:r>
        <w:rPr>
          <w:rFonts w:hint="default" w:asciiTheme="minorHAnsi" w:hAnsiTheme="minorHAnsi" w:eastAsiaTheme="minorEastAsia" w:cstheme="minorBidi"/>
          <w:kern w:val="2"/>
          <w:sz w:val="32"/>
          <w:szCs w:val="32"/>
          <w:lang w:val="en-US" w:eastAsia="zh-CN" w:bidi="ar-SA"/>
        </w:rPr>
        <w:t>Larooij, M., &amp; Törnberg, P. (2025). Validation is the central challenge for generative social simulation: a critical review of LLMs in agent-based modeling. Journal of Artificial Societies and Social Simulation, *28*(3), 1-31.</w:t>
      </w:r>
    </w:p>
    <w:p w14:paraId="65CEF59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HAnsi" w:hAnsiTheme="minorHAnsi" w:eastAsiaTheme="minorEastAsia" w:cstheme="minorBidi"/>
          <w:kern w:val="2"/>
          <w:sz w:val="32"/>
          <w:szCs w:val="32"/>
          <w:lang w:val="en-US" w:eastAsia="zh-CN" w:bidi="ar-SA"/>
        </w:rPr>
      </w:pPr>
      <w:r>
        <w:rPr>
          <w:rFonts w:hint="default" w:asciiTheme="minorHAnsi" w:hAnsiTheme="minorHAnsi" w:eastAsiaTheme="minorEastAsia" w:cstheme="minorBidi"/>
          <w:kern w:val="2"/>
          <w:sz w:val="32"/>
          <w:szCs w:val="32"/>
          <w:lang w:val="en-US" w:eastAsia="zh-CN" w:bidi="ar-SA"/>
        </w:rPr>
        <w:fldChar w:fldCharType="begin"/>
      </w:r>
      <w:r>
        <w:rPr>
          <w:rFonts w:hint="default" w:asciiTheme="minorHAnsi" w:hAnsiTheme="minorHAnsi" w:eastAsiaTheme="minorEastAsia" w:cstheme="minorBidi"/>
          <w:kern w:val="2"/>
          <w:sz w:val="32"/>
          <w:szCs w:val="32"/>
          <w:lang w:val="en-US" w:eastAsia="zh-CN" w:bidi="ar-SA"/>
        </w:rPr>
        <w:instrText xml:space="preserve"> HYPERLINK "https://doi.org/10.1007/s10462-025-11412-6" </w:instrText>
      </w:r>
      <w:r>
        <w:rPr>
          <w:rFonts w:hint="default" w:asciiTheme="minorHAnsi" w:hAnsiTheme="minorHAnsi" w:eastAsiaTheme="minorEastAsia" w:cstheme="minorBidi"/>
          <w:kern w:val="2"/>
          <w:sz w:val="32"/>
          <w:szCs w:val="32"/>
          <w:lang w:val="en-US" w:eastAsia="zh-CN" w:bidi="ar-SA"/>
        </w:rPr>
        <w:fldChar w:fldCharType="separate"/>
      </w:r>
      <w:r>
        <w:rPr>
          <w:rStyle w:val="4"/>
          <w:rFonts w:hint="default" w:asciiTheme="minorHAnsi" w:hAnsiTheme="minorHAnsi" w:eastAsiaTheme="minorEastAsia" w:cstheme="minorBidi"/>
          <w:kern w:val="2"/>
          <w:sz w:val="32"/>
          <w:szCs w:val="32"/>
          <w:lang w:val="en-US" w:eastAsia="zh-CN" w:bidi="ar-SA"/>
        </w:rPr>
        <w:t>https://doi.org/10.1007/s10462-025-11412-6</w:t>
      </w:r>
      <w:r>
        <w:rPr>
          <w:rFonts w:hint="default" w:asciiTheme="minorHAnsi" w:hAnsiTheme="minorHAnsi" w:eastAsiaTheme="minorEastAsia" w:cstheme="minorBidi"/>
          <w:kern w:val="2"/>
          <w:sz w:val="32"/>
          <w:szCs w:val="32"/>
          <w:lang w:val="en-US" w:eastAsia="zh-CN" w:bidi="ar-SA"/>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2EAC3C"/>
    <w:multiLevelType w:val="singleLevel"/>
    <w:tmpl w:val="AA2EAC3C"/>
    <w:lvl w:ilvl="0" w:tentative="0">
      <w:start w:val="4"/>
      <w:numFmt w:val="chineseCounting"/>
      <w:suff w:val="nothing"/>
      <w:lvlText w:val="%1、"/>
      <w:lvlJc w:val="left"/>
      <w:rPr>
        <w:rFonts w:hint="eastAsia"/>
      </w:rPr>
    </w:lvl>
  </w:abstractNum>
  <w:abstractNum w:abstractNumId="1">
    <w:nsid w:val="2509D406"/>
    <w:multiLevelType w:val="singleLevel"/>
    <w:tmpl w:val="2509D406"/>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D87C49"/>
    <w:rsid w:val="59A324D2"/>
    <w:rsid w:val="625453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3097</Words>
  <Characters>4608</Characters>
  <Lines>0</Lines>
  <Paragraphs>0</Paragraphs>
  <TotalTime>684</TotalTime>
  <ScaleCrop>false</ScaleCrop>
  <LinksUpToDate>false</LinksUpToDate>
  <CharactersWithSpaces>4815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2026-03-12T01:52:00Z</dcterms:created>
  <dc:creator>lenovo</dc:creator>
  <cp:lastModifiedBy>.</cp:lastModifiedBy>
  <dcterms:modified xsi:type="dcterms:W3CDTF">2026-03-19T12:35:10Z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eyJoZGlkIjoiMjAxOTk4NDA2ZTcyYmE2ZTRiZjZlMDU3ZjdjMDIzZDEiLCJ1c2VySWQiOiI4OTcyNTk1MjUifQ==</vt:lpwstr>
  </property>
  <property fmtid="{D5CDD505-2E9C-101B-9397-08002B2CF9AE}" pid="4" name="ICV">
    <vt:lpwstr>12D2D466B85C4F5BBF48CA5F5AAA03D9_12</vt:lpwstr>
  </property>
</Properties>
</file>