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A2A46C">
      <w:pPr>
        <w:pStyle w:val="2"/>
        <w:keepNext w:val="0"/>
        <w:keepLines w:val="0"/>
        <w:widowControl/>
        <w:suppressLineNumbers w:val="0"/>
        <w:shd w:val="clear" w:fill="FFFFFF"/>
        <w:spacing w:before="0" w:beforeAutospacing="0" w:after="160" w:afterAutospacing="0" w:line="340" w:lineRule="atLeast"/>
        <w:ind w:left="0" w:right="0" w:firstLine="0"/>
        <w:jc w:val="center"/>
        <w:rPr>
          <w:rFonts w:hint="eastAsia" w:ascii="方正仿宋_GB2312" w:hAnsi="方正仿宋_GB2312" w:eastAsia="方正仿宋_GB2312" w:cs="方正仿宋_GB2312"/>
          <w:b/>
          <w:bCs/>
          <w:caps w:val="0"/>
          <w:color w:val="0F1115"/>
          <w:spacing w:val="0"/>
          <w:sz w:val="28"/>
          <w:szCs w:val="28"/>
        </w:rPr>
      </w:pPr>
      <w:r>
        <w:rPr>
          <w:rFonts w:hint="eastAsia" w:ascii="方正仿宋_GB2312" w:hAnsi="方正仿宋_GB2312" w:eastAsia="方正仿宋_GB2312" w:cs="方正仿宋_GB2312"/>
          <w:b/>
          <w:bCs/>
          <w:caps w:val="0"/>
          <w:color w:val="0F1115"/>
          <w:spacing w:val="0"/>
          <w:sz w:val="28"/>
          <w:szCs w:val="28"/>
          <w:shd w:val="clear" w:fill="FFFFFF"/>
        </w:rPr>
        <w:t>社会技术系统中的行为建模与政策评估：基于海绵城市案例的建模方法比较研究综述</w:t>
      </w:r>
    </w:p>
    <w:p w14:paraId="7D32C28A">
      <w:pPr>
        <w:pStyle w:val="3"/>
        <w:keepNext w:val="0"/>
        <w:keepLines w:val="0"/>
        <w:widowControl/>
        <w:suppressLineNumbers w:val="0"/>
        <w:shd w:val="clear" w:fill="FFFFFF"/>
        <w:spacing w:before="320" w:beforeAutospacing="0" w:after="160" w:afterAutospacing="0" w:line="320" w:lineRule="atLeast"/>
        <w:ind w:left="0" w:right="0" w:firstLine="0"/>
        <w:rPr>
          <w:rFonts w:hint="eastAsia" w:ascii="方正仿宋_GB2312" w:hAnsi="方正仿宋_GB2312" w:eastAsia="方正仿宋_GB2312" w:cs="方正仿宋_GB2312"/>
          <w:b/>
          <w:bCs/>
          <w:caps w:val="0"/>
          <w:color w:val="0F1115"/>
          <w:spacing w:val="0"/>
          <w:sz w:val="24"/>
          <w:szCs w:val="24"/>
        </w:rPr>
      </w:pPr>
      <w:r>
        <w:rPr>
          <w:rFonts w:hint="eastAsia" w:ascii="方正仿宋_GB2312" w:hAnsi="方正仿宋_GB2312" w:eastAsia="方正仿宋_GB2312" w:cs="方正仿宋_GB2312"/>
          <w:b/>
          <w:bCs/>
          <w:caps w:val="0"/>
          <w:color w:val="0F1115"/>
          <w:spacing w:val="0"/>
          <w:sz w:val="24"/>
          <w:szCs w:val="24"/>
          <w:shd w:val="clear" w:fill="FFFFFF"/>
        </w:rPr>
        <w:t>摘要</w:t>
      </w:r>
    </w:p>
    <w:p w14:paraId="3614BA1F">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政策如何影响行动者的社会行为，进而影响社会技术系统的演化动态？这是可持续转型研究中具有核心意义的问题。本文以2024年发表于《Journal of Cleaner Production》的《Modelling the behaviour in socio-technical systems for policy assessment - A comparison of modelling approaches using the example of Sponge City concept implementation》为核心文献，系统梳理三种建模方法——系统思维建模（STM）、系统动力学（SDM）和基于智能体的建模（ABM）——在社会技术系统行为建模与政策评估中的应用。在此基础上，本文重点引入心理学与管理学领域的专业模型在社会现象仿真模拟中的融合应用案例分析，探讨跨学科理论整合如何提升行为建模的理论深度与政策评估的有效性。</w:t>
      </w:r>
    </w:p>
    <w:p w14:paraId="391ACD83">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Style w:val="8"/>
          <w:rFonts w:hint="eastAsia" w:ascii="方正仿宋_GB2312" w:hAnsi="方正仿宋_GB2312" w:eastAsia="方正仿宋_GB2312" w:cs="方正仿宋_GB2312"/>
          <w:b/>
          <w:bCs/>
          <w:i w:val="0"/>
          <w:iCs w:val="0"/>
          <w:caps w:val="0"/>
          <w:color w:val="0F1115"/>
          <w:spacing w:val="0"/>
          <w:sz w:val="24"/>
          <w:szCs w:val="24"/>
          <w:shd w:val="clear" w:fill="FFFFFF"/>
        </w:rPr>
        <w:t>关键词</w:t>
      </w:r>
      <w:r>
        <w:rPr>
          <w:rFonts w:hint="eastAsia" w:ascii="方正仿宋_GB2312" w:hAnsi="方正仿宋_GB2312" w:eastAsia="方正仿宋_GB2312" w:cs="方正仿宋_GB2312"/>
          <w:i w:val="0"/>
          <w:iCs w:val="0"/>
          <w:caps w:val="0"/>
          <w:color w:val="0F1115"/>
          <w:spacing w:val="0"/>
          <w:sz w:val="24"/>
          <w:szCs w:val="24"/>
          <w:shd w:val="clear" w:fill="FFFFFF"/>
        </w:rPr>
        <w:t>：社会技术系统；行为建模；政策评估；系统动力学；基于智能体的建模；心理学模型；跨学科融合</w:t>
      </w:r>
    </w:p>
    <w:p w14:paraId="77C7BAD2">
      <w:pPr>
        <w:pStyle w:val="3"/>
        <w:keepNext w:val="0"/>
        <w:keepLines w:val="0"/>
        <w:widowControl/>
        <w:suppressLineNumbers w:val="0"/>
        <w:shd w:val="clear" w:fill="FFFFFF"/>
        <w:spacing w:before="320" w:beforeAutospacing="0" w:after="160" w:afterAutospacing="0" w:line="320" w:lineRule="atLeast"/>
        <w:ind w:left="0" w:right="0" w:firstLine="0"/>
        <w:rPr>
          <w:rFonts w:hint="eastAsia" w:ascii="方正仿宋_GB2312" w:hAnsi="方正仿宋_GB2312" w:eastAsia="方正仿宋_GB2312" w:cs="方正仿宋_GB2312"/>
          <w:b/>
          <w:bCs/>
          <w:caps w:val="0"/>
          <w:color w:val="0F1115"/>
          <w:spacing w:val="0"/>
          <w:sz w:val="24"/>
          <w:szCs w:val="24"/>
        </w:rPr>
      </w:pPr>
      <w:r>
        <w:rPr>
          <w:rFonts w:hint="eastAsia" w:ascii="方正仿宋_GB2312" w:hAnsi="方正仿宋_GB2312" w:eastAsia="方正仿宋_GB2312" w:cs="方正仿宋_GB2312"/>
          <w:b/>
          <w:bCs/>
          <w:caps w:val="0"/>
          <w:color w:val="0F1115"/>
          <w:spacing w:val="0"/>
          <w:sz w:val="24"/>
          <w:szCs w:val="24"/>
          <w:shd w:val="clear" w:fill="FFFFFF"/>
        </w:rPr>
        <w:t>一、引言</w:t>
      </w:r>
    </w:p>
    <w:p w14:paraId="39DA7509">
      <w:pPr>
        <w:pStyle w:val="4"/>
        <w:keepNext w:val="0"/>
        <w:keepLines w:val="0"/>
        <w:widowControl/>
        <w:suppressLineNumbers w:val="0"/>
        <w:shd w:val="clear" w:fill="FFFFFF"/>
        <w:spacing w:before="320" w:beforeAutospacing="0" w:after="160" w:afterAutospacing="0" w:line="300" w:lineRule="atLeast"/>
        <w:ind w:left="0" w:right="0" w:firstLine="0"/>
        <w:rPr>
          <w:rFonts w:hint="eastAsia" w:ascii="方正仿宋_GB2312" w:hAnsi="方正仿宋_GB2312" w:eastAsia="方正仿宋_GB2312" w:cs="方正仿宋_GB2312"/>
          <w:b/>
          <w:bCs/>
          <w:caps w:val="0"/>
          <w:color w:val="0F1115"/>
          <w:spacing w:val="0"/>
          <w:sz w:val="24"/>
          <w:szCs w:val="24"/>
        </w:rPr>
      </w:pPr>
      <w:r>
        <w:rPr>
          <w:rFonts w:hint="eastAsia" w:ascii="方正仿宋_GB2312" w:hAnsi="方正仿宋_GB2312" w:eastAsia="方正仿宋_GB2312" w:cs="方正仿宋_GB2312"/>
          <w:b/>
          <w:bCs/>
          <w:caps w:val="0"/>
          <w:color w:val="0F1115"/>
          <w:spacing w:val="0"/>
          <w:sz w:val="24"/>
          <w:szCs w:val="24"/>
          <w:shd w:val="clear" w:fill="FFFFFF"/>
        </w:rPr>
        <w:t>1.1 研究背景与问题提出</w:t>
      </w:r>
    </w:p>
    <w:p w14:paraId="1D7A46C7">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可持续转型是当代社会面临的重大挑战。无论是应对气候变化、推动绿色能源转型，还是建设韧性城市，政策制定者都需要理解复杂社会系统中不同行动者的行为如何响应政策干预，以及这些微观行为如何涌现为宏观系统演化。然而，传统政策评估长期以来主要局限于物理效果或经济效率的评价，对政策如何通过影响社会行为进而改变系统动态这一核心机制关注不足。</w:t>
      </w:r>
    </w:p>
    <w:p w14:paraId="7E38DF71">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在此背景下，一个关键问题浮现：</w:t>
      </w: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政策如何影响行动者的社会行为，进而影响相应社会技术系统的动态？</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 </w:t>
      </w:r>
      <w:r>
        <w:rPr>
          <w:rFonts w:hint="eastAsia" w:ascii="方正仿宋_GB2312" w:hAnsi="方正仿宋_GB2312" w:eastAsia="方正仿宋_GB2312" w:cs="方正仿宋_GB2312"/>
          <w:i w:val="0"/>
          <w:iCs w:val="0"/>
          <w:caps w:val="0"/>
          <w:color w:val="0F1115"/>
          <w:spacing w:val="0"/>
          <w:sz w:val="24"/>
          <w:szCs w:val="24"/>
          <w:shd w:val="clear" w:fill="FFFFFF"/>
        </w:rPr>
        <w:t>这一问题的解答需要能够捕捉社会行为复杂性、非线性系统动态以及微观-宏观互动的建模方法。近年来，心理学与管理学领域的行为理论（如计划行为理论、保护动机理论、意见动力学等）被逐步整合进入智能体建模框架，为理解社会现象的内在机制提供了更丰富的理论工具</w: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instrText xml:space="preserve"> HYPERLINK "https://www.sciencedirect.com/science/article/abs/pii/S0304380025002170" \t "https://chat.deepseek.com/a/chat/s/_blank" </w:instrTex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end"/>
      </w:r>
      <w:r>
        <w:rPr>
          <w:rFonts w:hint="eastAsia" w:ascii="方正仿宋_GB2312" w:hAnsi="方正仿宋_GB2312" w:eastAsia="方正仿宋_GB2312" w:cs="方正仿宋_GB2312"/>
          <w:i w:val="0"/>
          <w:iCs w:val="0"/>
          <w:caps w:val="0"/>
          <w:color w:val="0F1115"/>
          <w:spacing w:val="0"/>
          <w:sz w:val="24"/>
          <w:szCs w:val="24"/>
          <w:shd w:val="clear" w:fill="FFFFFF"/>
        </w:rPr>
        <w:t>。</w:t>
      </w:r>
    </w:p>
    <w:p w14:paraId="534F42DC">
      <w:pPr>
        <w:pStyle w:val="4"/>
        <w:keepNext w:val="0"/>
        <w:keepLines w:val="0"/>
        <w:widowControl/>
        <w:suppressLineNumbers w:val="0"/>
        <w:shd w:val="clear" w:fill="FFFFFF"/>
        <w:spacing w:before="320" w:beforeAutospacing="0" w:after="160" w:afterAutospacing="0" w:line="300" w:lineRule="atLeast"/>
        <w:ind w:left="0" w:right="0" w:firstLine="0"/>
        <w:rPr>
          <w:rFonts w:hint="eastAsia" w:ascii="方正仿宋_GB2312" w:hAnsi="方正仿宋_GB2312" w:eastAsia="方正仿宋_GB2312" w:cs="方正仿宋_GB2312"/>
          <w:b/>
          <w:bCs/>
          <w:caps w:val="0"/>
          <w:color w:val="0F1115"/>
          <w:spacing w:val="0"/>
          <w:sz w:val="24"/>
          <w:szCs w:val="24"/>
        </w:rPr>
      </w:pPr>
      <w:r>
        <w:rPr>
          <w:rFonts w:hint="eastAsia" w:ascii="方正仿宋_GB2312" w:hAnsi="方正仿宋_GB2312" w:eastAsia="方正仿宋_GB2312" w:cs="方正仿宋_GB2312"/>
          <w:b/>
          <w:bCs/>
          <w:caps w:val="0"/>
          <w:color w:val="0F1115"/>
          <w:spacing w:val="0"/>
          <w:sz w:val="24"/>
          <w:szCs w:val="24"/>
          <w:shd w:val="clear" w:fill="FFFFFF"/>
        </w:rPr>
        <w:t>1.2 核心文献概述</w:t>
      </w:r>
    </w:p>
    <w:p w14:paraId="0FF9F3C6">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该研究比较了三种代表性的系统建模方法——系统思维建模、系统动力学和基于智能体的建模——在社会技术系统行为建模与政策评估中的应用潜力与局限。</w:t>
      </w:r>
    </w:p>
    <w:p w14:paraId="369EAB64">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研究的独特贡献在于：以</w:t>
      </w: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海绵城市</w:t>
      </w:r>
      <w:r>
        <w:rPr>
          <w:rFonts w:hint="eastAsia" w:ascii="方正仿宋_GB2312" w:hAnsi="方正仿宋_GB2312" w:eastAsia="方正仿宋_GB2312" w:cs="方正仿宋_GB2312"/>
          <w:i w:val="0"/>
          <w:iCs w:val="0"/>
          <w:caps w:val="0"/>
          <w:color w:val="0F1115"/>
          <w:spacing w:val="0"/>
          <w:sz w:val="24"/>
          <w:szCs w:val="24"/>
          <w:shd w:val="clear" w:fill="FFFFFF"/>
        </w:rPr>
        <w:t>这一具体的可持续城市水管理政策为共同案例，针对同一问题——多住宅区雨水滞留适应措施的实施动态——分别构建了STM、SDM和ABM三个示范模型。通过这一方法论对照实验，研究揭示了不同建模方法如何概念化社会行为、产生何种政策见解，以及各自适用于何种政策评估场景。</w:t>
      </w:r>
    </w:p>
    <w:p w14:paraId="72BAD3EF">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eastAsia" w:ascii="方正仿宋_GB2312" w:hAnsi="方正仿宋_GB2312" w:eastAsia="方正仿宋_GB2312" w:cs="方正仿宋_GB2312"/>
          <w:b/>
          <w:bCs/>
          <w:caps w:val="0"/>
          <w:color w:val="0F1115"/>
          <w:spacing w:val="0"/>
          <w:sz w:val="24"/>
          <w:szCs w:val="24"/>
        </w:rPr>
      </w:pPr>
      <w:r>
        <w:rPr>
          <w:rFonts w:hint="eastAsia" w:ascii="方正仿宋_GB2312" w:hAnsi="方正仿宋_GB2312" w:eastAsia="方正仿宋_GB2312" w:cs="方正仿宋_GB2312"/>
          <w:b/>
          <w:bCs/>
          <w:caps w:val="0"/>
          <w:color w:val="0F1115"/>
          <w:spacing w:val="0"/>
          <w:sz w:val="24"/>
          <w:szCs w:val="24"/>
          <w:shd w:val="clear" w:fill="FFFFFF"/>
        </w:rPr>
        <w:t>二、三种建模方法的方法论比较</w:t>
      </w:r>
    </w:p>
    <w:p w14:paraId="7A439F40">
      <w:pPr>
        <w:pStyle w:val="4"/>
        <w:keepNext w:val="0"/>
        <w:keepLines w:val="0"/>
        <w:widowControl/>
        <w:suppressLineNumbers w:val="0"/>
        <w:shd w:val="clear" w:fill="FFFFFF"/>
        <w:spacing w:before="320" w:beforeAutospacing="0" w:after="160" w:afterAutospacing="0" w:line="300" w:lineRule="atLeast"/>
        <w:ind w:left="0" w:right="0" w:firstLine="0"/>
        <w:rPr>
          <w:rFonts w:hint="eastAsia" w:ascii="方正仿宋_GB2312" w:hAnsi="方正仿宋_GB2312" w:eastAsia="方正仿宋_GB2312" w:cs="方正仿宋_GB2312"/>
          <w:b/>
          <w:bCs/>
          <w:caps w:val="0"/>
          <w:color w:val="0F1115"/>
          <w:spacing w:val="0"/>
          <w:sz w:val="24"/>
          <w:szCs w:val="24"/>
        </w:rPr>
      </w:pPr>
      <w:r>
        <w:rPr>
          <w:rFonts w:hint="eastAsia" w:ascii="方正仿宋_GB2312" w:hAnsi="方正仿宋_GB2312" w:eastAsia="方正仿宋_GB2312" w:cs="方正仿宋_GB2312"/>
          <w:b/>
          <w:bCs/>
          <w:caps w:val="0"/>
          <w:color w:val="0F1115"/>
          <w:spacing w:val="0"/>
          <w:sz w:val="24"/>
          <w:szCs w:val="24"/>
          <w:shd w:val="clear" w:fill="FFFFFF"/>
        </w:rPr>
        <w:t>2.1 建模对象的差异</w:t>
      </w:r>
    </w:p>
    <w:p w14:paraId="023AA097">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三种方法在建模对象上存在根本差异，这决定了它们适合回答的政策问题类型。</w:t>
      </w:r>
    </w:p>
    <w:p w14:paraId="3DB0583B">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系统思维建模（STM）</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以</w:t>
      </w: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因果循环图</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为核心工具，关注</w:t>
      </w: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具有有限行为复杂性的动态系统</w:t>
      </w:r>
      <w:r>
        <w:rPr>
          <w:rFonts w:hint="eastAsia" w:ascii="方正仿宋_GB2312" w:hAnsi="方正仿宋_GB2312" w:eastAsia="方正仿宋_GB2312" w:cs="方正仿宋_GB2312"/>
          <w:i w:val="0"/>
          <w:iCs w:val="0"/>
          <w:caps w:val="0"/>
          <w:color w:val="0F1115"/>
          <w:spacing w:val="0"/>
          <w:sz w:val="24"/>
          <w:szCs w:val="24"/>
          <w:shd w:val="clear" w:fill="FFFFFF"/>
        </w:rPr>
        <w:t>。它从系统边界内的组成部分互动出发，以内生视角审视动态系统行为。STM的本质是描述性的，旨在揭示系统中存在的因果关系和反馈结构，而非定量预测。</w:t>
      </w:r>
    </w:p>
    <w:p w14:paraId="336309A3">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系统动力学（SDM）</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在建模对象上与STM相似，但更强调</w:t>
      </w: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时间依赖的动态行为</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w:t>
      </w:r>
      <w:r>
        <w:rPr>
          <w:rFonts w:hint="eastAsia" w:ascii="方正仿宋_GB2312" w:hAnsi="方正仿宋_GB2312" w:eastAsia="方正仿宋_GB2312" w:cs="方正仿宋_GB2312"/>
          <w:i w:val="0"/>
          <w:iCs w:val="0"/>
          <w:caps w:val="0"/>
          <w:color w:val="0F1115"/>
          <w:spacing w:val="0"/>
          <w:sz w:val="24"/>
          <w:szCs w:val="24"/>
          <w:shd w:val="clear" w:fill="FFFFFF"/>
        </w:rPr>
        <w:t>SDM将系统视为由存量、流量和反馈回路构成的连续流模型，关注系统层面的积累、延迟和非线性动态。其基本假设是同质性——系统中的实体被视为可聚合的，个体差异被平均化处理。</w:t>
      </w:r>
    </w:p>
    <w:p w14:paraId="43CB0153">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基于智能体的建模（ABM）</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则以</w:t>
      </w: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复杂适应系统</w:t>
      </w:r>
      <w:r>
        <w:rPr>
          <w:rFonts w:hint="eastAsia" w:ascii="方正仿宋_GB2312" w:hAnsi="方正仿宋_GB2312" w:eastAsia="方正仿宋_GB2312" w:cs="方正仿宋_GB2312"/>
          <w:i w:val="0"/>
          <w:iCs w:val="0"/>
          <w:caps w:val="0"/>
          <w:color w:val="0F1115"/>
          <w:spacing w:val="0"/>
          <w:sz w:val="24"/>
          <w:szCs w:val="24"/>
          <w:shd w:val="clear" w:fill="FFFFFF"/>
        </w:rPr>
        <w:t>为对象，关注具有异质性、适应性和互动能力的智能体。智能体遵循决策规则，能够学习、互动并对环境变化做出反应。系统的宏观行为从智能体的微观互动中</w:t>
      </w: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涌现</w:t>
      </w:r>
      <w:r>
        <w:rPr>
          <w:rFonts w:hint="eastAsia" w:ascii="方正仿宋_GB2312" w:hAnsi="方正仿宋_GB2312" w:eastAsia="方正仿宋_GB2312" w:cs="方正仿宋_GB2312"/>
          <w:i w:val="0"/>
          <w:iCs w:val="0"/>
          <w:caps w:val="0"/>
          <w:color w:val="0F1115"/>
          <w:spacing w:val="0"/>
          <w:sz w:val="24"/>
          <w:szCs w:val="24"/>
          <w:shd w:val="clear" w:fill="FFFFFF"/>
        </w:rPr>
        <w:t>出来，而非预先设定的聚合关系。</w:t>
      </w:r>
    </w:p>
    <w:p w14:paraId="75609988">
      <w:pPr>
        <w:pStyle w:val="4"/>
        <w:keepNext w:val="0"/>
        <w:keepLines w:val="0"/>
        <w:widowControl/>
        <w:suppressLineNumbers w:val="0"/>
        <w:shd w:val="clear" w:fill="FFFFFF"/>
        <w:spacing w:before="320" w:beforeAutospacing="0" w:after="160" w:afterAutospacing="0" w:line="300" w:lineRule="atLeast"/>
        <w:ind w:left="0" w:right="0" w:firstLine="0"/>
        <w:rPr>
          <w:rFonts w:hint="eastAsia" w:ascii="方正仿宋_GB2312" w:hAnsi="方正仿宋_GB2312" w:eastAsia="方正仿宋_GB2312" w:cs="方正仿宋_GB2312"/>
          <w:b/>
          <w:bCs/>
          <w:caps w:val="0"/>
          <w:color w:val="0F1115"/>
          <w:spacing w:val="0"/>
          <w:sz w:val="24"/>
          <w:szCs w:val="24"/>
        </w:rPr>
      </w:pPr>
      <w:r>
        <w:rPr>
          <w:rFonts w:hint="eastAsia" w:ascii="方正仿宋_GB2312" w:hAnsi="方正仿宋_GB2312" w:eastAsia="方正仿宋_GB2312" w:cs="方正仿宋_GB2312"/>
          <w:b/>
          <w:bCs/>
          <w:caps w:val="0"/>
          <w:color w:val="0F1115"/>
          <w:spacing w:val="0"/>
          <w:sz w:val="24"/>
          <w:szCs w:val="24"/>
          <w:shd w:val="clear" w:fill="FFFFFF"/>
        </w:rPr>
        <w:t>2.2 行为概念化的方式</w:t>
      </w:r>
    </w:p>
    <w:p w14:paraId="3B190A41">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三种方法在如何概念化和纳入“社会行为”这一核心要素上存在显著差异。</w:t>
      </w:r>
    </w:p>
    <w:p w14:paraId="3649CBC2">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在STM中，行为主要通过</w:t>
      </w: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因果关系的定性描述</w:t>
      </w:r>
      <w:r>
        <w:rPr>
          <w:rFonts w:hint="eastAsia" w:ascii="方正仿宋_GB2312" w:hAnsi="方正仿宋_GB2312" w:eastAsia="方正仿宋_GB2312" w:cs="方正仿宋_GB2312"/>
          <w:i w:val="0"/>
          <w:iCs w:val="0"/>
          <w:caps w:val="0"/>
          <w:color w:val="0F1115"/>
          <w:spacing w:val="0"/>
          <w:sz w:val="24"/>
          <w:szCs w:val="24"/>
          <w:shd w:val="clear" w:fill="FFFFFF"/>
        </w:rPr>
        <w:t>来体现。例如，在海绵城市案例中，STM因果循环图可能描绘“居民对雨水滞留设施的接受度”与“政策宣传强度”、“可见的设施效益”之间的相互影响关系，但无法量化这些关系的强度或时间动态。</w:t>
      </w:r>
    </w:p>
    <w:p w14:paraId="7386A171">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SDM将行为纳入</w:t>
      </w: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聚合水平的方程系统</w:t>
      </w:r>
      <w:r>
        <w:rPr>
          <w:rFonts w:hint="eastAsia" w:ascii="方正仿宋_GB2312" w:hAnsi="方正仿宋_GB2312" w:eastAsia="方正仿宋_GB2312" w:cs="方正仿宋_GB2312"/>
          <w:i w:val="0"/>
          <w:iCs w:val="0"/>
          <w:caps w:val="0"/>
          <w:color w:val="0F1115"/>
          <w:spacing w:val="0"/>
          <w:sz w:val="24"/>
          <w:szCs w:val="24"/>
          <w:shd w:val="clear" w:fill="FFFFFF"/>
        </w:rPr>
        <w:t>。行为通过变量之间的数学函数关系来表达，如“设施采纳率”被建模为“政策激励强度”和“社会规范”的函数。这种方法隐含了同质性假设——所有居民对政策的反应方式是相同的，且个体间的互动被简化为平均场效应。</w:t>
      </w:r>
    </w:p>
    <w:p w14:paraId="26F93693">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ABM则直接在</w:t>
      </w: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个体智能体层面</w:t>
      </w:r>
      <w:r>
        <w:rPr>
          <w:rFonts w:hint="eastAsia" w:ascii="方正仿宋_GB2312" w:hAnsi="方正仿宋_GB2312" w:eastAsia="方正仿宋_GB2312" w:cs="方正仿宋_GB2312"/>
          <w:i w:val="0"/>
          <w:iCs w:val="0"/>
          <w:caps w:val="0"/>
          <w:color w:val="0F1115"/>
          <w:spacing w:val="0"/>
          <w:sz w:val="24"/>
          <w:szCs w:val="24"/>
          <w:shd w:val="clear" w:fill="FFFFFF"/>
        </w:rPr>
        <w:t>建模行为决策。每个居民智能体拥有独特的属性（如收入水平、环境意识、社会网络位置）、决策规则（如基于效用最大化的采纳决策）和学习能力（如观察邻居行为后的策略调整）。系统的宏观采纳率从数千个智能体的并行决策中涌现。这种建模方式能够捕捉异质性、社会互动和路径依赖等复杂现象。</w:t>
      </w:r>
    </w:p>
    <w:p w14:paraId="50191B3C">
      <w:pPr>
        <w:pStyle w:val="4"/>
        <w:keepNext w:val="0"/>
        <w:keepLines w:val="0"/>
        <w:widowControl/>
        <w:suppressLineNumbers w:val="0"/>
        <w:shd w:val="clear" w:fill="FFFFFF"/>
        <w:spacing w:before="320" w:beforeAutospacing="0" w:after="160" w:afterAutospacing="0" w:line="300" w:lineRule="atLeast"/>
        <w:ind w:left="0" w:right="0" w:firstLine="0"/>
        <w:rPr>
          <w:rFonts w:hint="eastAsia" w:ascii="方正仿宋_GB2312" w:hAnsi="方正仿宋_GB2312" w:eastAsia="方正仿宋_GB2312" w:cs="方正仿宋_GB2312"/>
          <w:b/>
          <w:bCs/>
          <w:caps w:val="0"/>
          <w:color w:val="0F1115"/>
          <w:spacing w:val="0"/>
          <w:sz w:val="24"/>
          <w:szCs w:val="24"/>
        </w:rPr>
      </w:pPr>
      <w:r>
        <w:rPr>
          <w:rFonts w:hint="eastAsia" w:ascii="方正仿宋_GB2312" w:hAnsi="方正仿宋_GB2312" w:eastAsia="方正仿宋_GB2312" w:cs="方正仿宋_GB2312"/>
          <w:b/>
          <w:bCs/>
          <w:caps w:val="0"/>
          <w:color w:val="0F1115"/>
          <w:spacing w:val="0"/>
          <w:sz w:val="24"/>
          <w:szCs w:val="24"/>
          <w:shd w:val="clear" w:fill="FFFFFF"/>
        </w:rPr>
        <w:t>2.3 反馈机制的处理</w:t>
      </w:r>
    </w:p>
    <w:p w14:paraId="7A45CFE1">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反馈是复杂系统动态的核心驱动力，三种方法对此的处理方式各有特点。</w:t>
      </w:r>
    </w:p>
    <w:p w14:paraId="03C93C7D">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STM以</w:t>
      </w: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强化和平衡反馈回路</w:t>
      </w:r>
      <w:r>
        <w:rPr>
          <w:rFonts w:hint="eastAsia" w:ascii="方正仿宋_GB2312" w:hAnsi="方正仿宋_GB2312" w:eastAsia="方正仿宋_GB2312" w:cs="方正仿宋_GB2312"/>
          <w:i w:val="0"/>
          <w:iCs w:val="0"/>
          <w:caps w:val="0"/>
          <w:color w:val="0F1115"/>
          <w:spacing w:val="0"/>
          <w:sz w:val="24"/>
          <w:szCs w:val="24"/>
          <w:shd w:val="clear" w:fill="FFFFFF"/>
        </w:rPr>
        <w:t>为核心本体论，通过因果循环图揭示系统结构如何驱动行为。延迟效应也可以通过因果链中的延迟标记来定性表示。</w:t>
      </w:r>
    </w:p>
    <w:p w14:paraId="75A03E3E">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SDM继承并扩展了STM的反馈观，将反馈回路量化为微分方程，能够模拟随时间演化的动态行为。存量-流量结构天然支持对积累和延迟的精确建模。</w:t>
      </w:r>
    </w:p>
    <w:p w14:paraId="2FE95D58">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ABM中，反馈通常不是预设的全局结构，而是</w:t>
      </w: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从智能体互动中涌现的局部现象</w:t>
      </w:r>
      <w:r>
        <w:rPr>
          <w:rFonts w:hint="eastAsia" w:ascii="方正仿宋_GB2312" w:hAnsi="方正仿宋_GB2312" w:eastAsia="方正仿宋_GB2312" w:cs="方正仿宋_GB2312"/>
          <w:i w:val="0"/>
          <w:iCs w:val="0"/>
          <w:caps w:val="0"/>
          <w:color w:val="0F1115"/>
          <w:spacing w:val="0"/>
          <w:sz w:val="24"/>
          <w:szCs w:val="24"/>
          <w:shd w:val="clear" w:fill="FFFFFF"/>
        </w:rPr>
        <w:t>。例如，当居民观察到邻居安装雨水设施后也决定采纳，这种社会传染效应在宏观上表现为正反馈，但其微观基础是智能体间的局部互动。</w:t>
      </w:r>
    </w:p>
    <w:p w14:paraId="6336743B">
      <w:pPr>
        <w:pStyle w:val="4"/>
        <w:keepNext w:val="0"/>
        <w:keepLines w:val="0"/>
        <w:widowControl/>
        <w:suppressLineNumbers w:val="0"/>
        <w:shd w:val="clear" w:fill="FFFFFF"/>
        <w:spacing w:before="320" w:beforeAutospacing="0" w:after="160" w:afterAutospacing="0" w:line="300" w:lineRule="atLeast"/>
        <w:ind w:left="0" w:right="0" w:firstLine="0"/>
        <w:rPr>
          <w:rFonts w:hint="eastAsia" w:ascii="方正仿宋_GB2312" w:hAnsi="方正仿宋_GB2312" w:eastAsia="方正仿宋_GB2312" w:cs="方正仿宋_GB2312"/>
          <w:b/>
          <w:bCs/>
          <w:caps w:val="0"/>
          <w:color w:val="0F1115"/>
          <w:spacing w:val="0"/>
          <w:sz w:val="24"/>
          <w:szCs w:val="24"/>
        </w:rPr>
      </w:pPr>
      <w:r>
        <w:rPr>
          <w:rFonts w:hint="eastAsia" w:ascii="方正仿宋_GB2312" w:hAnsi="方正仿宋_GB2312" w:eastAsia="方正仿宋_GB2312" w:cs="方正仿宋_GB2312"/>
          <w:b/>
          <w:bCs/>
          <w:caps w:val="0"/>
          <w:color w:val="0F1115"/>
          <w:spacing w:val="0"/>
          <w:sz w:val="24"/>
          <w:szCs w:val="24"/>
          <w:shd w:val="clear" w:fill="FFFFFF"/>
        </w:rPr>
        <w:t>2.4 异质性与空间性的处理能力</w:t>
      </w:r>
    </w:p>
    <w:p w14:paraId="128DAB67">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异质性</w:t>
      </w:r>
      <w:r>
        <w:rPr>
          <w:rFonts w:hint="eastAsia" w:ascii="方正仿宋_GB2312" w:hAnsi="方正仿宋_GB2312" w:eastAsia="方正仿宋_GB2312" w:cs="方正仿宋_GB2312"/>
          <w:i w:val="0"/>
          <w:iCs w:val="0"/>
          <w:caps w:val="0"/>
          <w:color w:val="0F1115"/>
          <w:spacing w:val="0"/>
          <w:sz w:val="24"/>
          <w:szCs w:val="24"/>
          <w:shd w:val="clear" w:fill="FFFFFF"/>
        </w:rPr>
        <w:t>是区分三种方法的关键维度之一。STM作为定性方法，异质性并非其关注焦点。SDM因采用聚合方程和混合假设，本质上难以处理异质性——居民被简化为“平均居民”，个体差异被平均掉。ABM则天然适合异质性系统，能够建模具有不同属性、行为策略和社会网络位置的异质智能体，支持对“体制”与“利基”之间的分化进行精细化分析。</w:t>
      </w:r>
    </w:p>
    <w:p w14:paraId="3DD3242E">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空间性</w:t>
      </w:r>
      <w:r>
        <w:rPr>
          <w:rFonts w:hint="eastAsia" w:ascii="方正仿宋_GB2312" w:hAnsi="方正仿宋_GB2312" w:eastAsia="方正仿宋_GB2312" w:cs="方正仿宋_GB2312"/>
          <w:i w:val="0"/>
          <w:iCs w:val="0"/>
          <w:caps w:val="0"/>
          <w:color w:val="0F1115"/>
          <w:spacing w:val="0"/>
          <w:sz w:val="24"/>
          <w:szCs w:val="24"/>
          <w:shd w:val="clear" w:fill="FFFFFF"/>
        </w:rPr>
        <w:t>方面，STM和标准SDM难以有效刻画空间维度——即使构建空间模型，也通常是区域层面的数据聚合。ABM则具有处理空间细节的潜力，可与元胞自动机或地理信息系统（GIS）结合，实现高分辨率空间动态的可视化。</w:t>
      </w:r>
    </w:p>
    <w:p w14:paraId="4CAD0CCC">
      <w:pPr>
        <w:pStyle w:val="4"/>
        <w:keepNext w:val="0"/>
        <w:keepLines w:val="0"/>
        <w:widowControl/>
        <w:suppressLineNumbers w:val="0"/>
        <w:shd w:val="clear" w:fill="FFFFFF"/>
        <w:spacing w:before="320" w:beforeAutospacing="0" w:after="160" w:afterAutospacing="0" w:line="300" w:lineRule="atLeast"/>
        <w:ind w:left="0" w:right="0" w:firstLine="0"/>
        <w:rPr>
          <w:rFonts w:hint="eastAsia" w:ascii="方正仿宋_GB2312" w:hAnsi="方正仿宋_GB2312" w:eastAsia="方正仿宋_GB2312" w:cs="方正仿宋_GB2312"/>
          <w:b/>
          <w:bCs/>
          <w:caps w:val="0"/>
          <w:color w:val="0F1115"/>
          <w:spacing w:val="0"/>
          <w:sz w:val="24"/>
          <w:szCs w:val="24"/>
        </w:rPr>
      </w:pPr>
      <w:r>
        <w:rPr>
          <w:rFonts w:hint="eastAsia" w:ascii="方正仿宋_GB2312" w:hAnsi="方正仿宋_GB2312" w:eastAsia="方正仿宋_GB2312" w:cs="方正仿宋_GB2312"/>
          <w:b/>
          <w:bCs/>
          <w:caps w:val="0"/>
          <w:color w:val="0F1115"/>
          <w:spacing w:val="0"/>
          <w:sz w:val="24"/>
          <w:szCs w:val="24"/>
          <w:shd w:val="clear" w:fill="FFFFFF"/>
        </w:rPr>
        <w:t>2.5 建模过程与数据需求</w:t>
      </w:r>
    </w:p>
    <w:p w14:paraId="560FBC99">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三种方法在建模过程和资源需求上差异显著。</w:t>
      </w:r>
    </w:p>
    <w:p w14:paraId="1706C42B">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b w:val="0"/>
          <w:bCs w:val="0"/>
          <w:i w:val="0"/>
          <w:iCs w:val="0"/>
          <w:caps w:val="0"/>
          <w:color w:val="0F1115"/>
          <w:spacing w:val="0"/>
          <w:sz w:val="24"/>
          <w:szCs w:val="24"/>
        </w:rPr>
      </w:pPr>
      <w:r>
        <w:rPr>
          <w:rFonts w:hint="eastAsia" w:ascii="方正仿宋_GB2312" w:hAnsi="方正仿宋_GB2312" w:eastAsia="方正仿宋_GB2312" w:cs="方正仿宋_GB2312"/>
          <w:b w:val="0"/>
          <w:bCs w:val="0"/>
          <w:i w:val="0"/>
          <w:iCs w:val="0"/>
          <w:caps w:val="0"/>
          <w:color w:val="0F1115"/>
          <w:spacing w:val="0"/>
          <w:sz w:val="24"/>
          <w:szCs w:val="24"/>
          <w:shd w:val="clear" w:fill="FFFFFF"/>
        </w:rPr>
        <w:t>STM作为</w:t>
      </w: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定性方法</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，模型开发工作量较小，主要通过专家知识和文献梳理构建因果结构，模型验证也以专家评估为主。它适用于短期的、探索性的政策设计过程。</w:t>
      </w:r>
    </w:p>
    <w:p w14:paraId="1BD4A905">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b w:val="0"/>
          <w:bCs w:val="0"/>
          <w:i w:val="0"/>
          <w:iCs w:val="0"/>
          <w:caps w:val="0"/>
          <w:color w:val="0F1115"/>
          <w:spacing w:val="0"/>
          <w:sz w:val="24"/>
          <w:szCs w:val="24"/>
        </w:rPr>
      </w:pPr>
      <w:r>
        <w:rPr>
          <w:rFonts w:hint="eastAsia" w:ascii="方正仿宋_GB2312" w:hAnsi="方正仿宋_GB2312" w:eastAsia="方正仿宋_GB2312" w:cs="方正仿宋_GB2312"/>
          <w:b w:val="0"/>
          <w:bCs w:val="0"/>
          <w:i w:val="0"/>
          <w:iCs w:val="0"/>
          <w:caps w:val="0"/>
          <w:color w:val="0F1115"/>
          <w:spacing w:val="0"/>
          <w:sz w:val="24"/>
          <w:szCs w:val="24"/>
          <w:shd w:val="clear" w:fill="FFFFFF"/>
        </w:rPr>
        <w:t>SDM需要</w:t>
      </w: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适度的数据支持</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进行参数校准和验证。系统结构相对透明，数学表达简洁，便于进行可追踪的分析。但数据可用性是模型校准的主要限制。</w:t>
      </w:r>
    </w:p>
    <w:p w14:paraId="62FE23B1">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b w:val="0"/>
          <w:bCs w:val="0"/>
          <w:i w:val="0"/>
          <w:iCs w:val="0"/>
          <w:caps w:val="0"/>
          <w:color w:val="0F1115"/>
          <w:spacing w:val="0"/>
          <w:sz w:val="24"/>
          <w:szCs w:val="24"/>
          <w:shd w:val="clear" w:fill="FFFFFF"/>
        </w:rPr>
        <w:t>ABM的</w:t>
      </w: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数据需求最为苛刻</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，需要对智能体的决策规则、社会网络结构和环境特征进行详细参数化。模型校准和验证需要精细的数据，仿真过程也消耗较多计算资源。然而，这种投入换来的回报是能够捕捉复杂的社会动态和涌现现象</w:t>
      </w:r>
      <w:r>
        <w:rPr>
          <w:rFonts w:hint="eastAsia" w:ascii="方正仿宋_GB2312" w:hAnsi="方正仿宋_GB2312" w:eastAsia="方正仿宋_GB2312" w:cs="方正仿宋_GB2312"/>
          <w:i w:val="0"/>
          <w:iCs w:val="0"/>
          <w:caps w:val="0"/>
          <w:color w:val="0F1115"/>
          <w:spacing w:val="0"/>
          <w:sz w:val="24"/>
          <w:szCs w:val="24"/>
          <w:shd w:val="clear" w:fill="FFFFFF"/>
        </w:rPr>
        <w:t>。</w:t>
      </w:r>
    </w:p>
    <w:p w14:paraId="3E0726A7">
      <w:pPr>
        <w:pStyle w:val="3"/>
        <w:keepNext w:val="0"/>
        <w:keepLines w:val="0"/>
        <w:widowControl/>
        <w:suppressLineNumbers w:val="0"/>
        <w:shd w:val="clear" w:fill="FFFFFF"/>
        <w:spacing w:before="320" w:beforeAutospacing="0" w:after="160" w:afterAutospacing="0" w:line="320" w:lineRule="atLeast"/>
        <w:ind w:left="0" w:right="0" w:firstLine="0"/>
        <w:rPr>
          <w:rFonts w:hint="eastAsia" w:ascii="方正仿宋_GB2312" w:hAnsi="方正仿宋_GB2312" w:eastAsia="方正仿宋_GB2312" w:cs="方正仿宋_GB2312"/>
          <w:b/>
          <w:bCs/>
          <w:caps w:val="0"/>
          <w:color w:val="0F1115"/>
          <w:spacing w:val="0"/>
          <w:sz w:val="24"/>
          <w:szCs w:val="24"/>
        </w:rPr>
      </w:pPr>
      <w:r>
        <w:rPr>
          <w:rFonts w:hint="eastAsia" w:ascii="方正仿宋_GB2312" w:hAnsi="方正仿宋_GB2312" w:eastAsia="方正仿宋_GB2312" w:cs="方正仿宋_GB2312"/>
          <w:b/>
          <w:bCs/>
          <w:caps w:val="0"/>
          <w:color w:val="0F1115"/>
          <w:spacing w:val="0"/>
          <w:sz w:val="24"/>
          <w:szCs w:val="24"/>
          <w:shd w:val="clear" w:fill="FFFFFF"/>
        </w:rPr>
        <w:t>三、海绵城市案例的应用与发现</w:t>
      </w:r>
    </w:p>
    <w:p w14:paraId="6DEFF1D4">
      <w:pPr>
        <w:pStyle w:val="4"/>
        <w:keepNext w:val="0"/>
        <w:keepLines w:val="0"/>
        <w:widowControl/>
        <w:suppressLineNumbers w:val="0"/>
        <w:shd w:val="clear" w:fill="FFFFFF"/>
        <w:spacing w:before="320" w:beforeAutospacing="0" w:after="160" w:afterAutospacing="0" w:line="300" w:lineRule="atLeast"/>
        <w:ind w:left="0" w:right="0" w:firstLine="0"/>
        <w:rPr>
          <w:rFonts w:hint="eastAsia" w:ascii="方正仿宋_GB2312" w:hAnsi="方正仿宋_GB2312" w:eastAsia="方正仿宋_GB2312" w:cs="方正仿宋_GB2312"/>
          <w:b/>
          <w:bCs/>
          <w:caps w:val="0"/>
          <w:color w:val="0F1115"/>
          <w:spacing w:val="0"/>
          <w:sz w:val="24"/>
          <w:szCs w:val="24"/>
        </w:rPr>
      </w:pPr>
      <w:r>
        <w:rPr>
          <w:rFonts w:hint="eastAsia" w:ascii="方正仿宋_GB2312" w:hAnsi="方正仿宋_GB2312" w:eastAsia="方正仿宋_GB2312" w:cs="方正仿宋_GB2312"/>
          <w:b/>
          <w:bCs/>
          <w:caps w:val="0"/>
          <w:color w:val="0F1115"/>
          <w:spacing w:val="0"/>
          <w:sz w:val="24"/>
          <w:szCs w:val="24"/>
          <w:shd w:val="clear" w:fill="FFFFFF"/>
        </w:rPr>
        <w:t>3.1 案例背景与研究设计</w:t>
      </w:r>
    </w:p>
    <w:p w14:paraId="4C432395">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海绵城市是中国自2013年起推行的国家级可持续城市水管理战略，旨在通过低影响开发、绿色基础设施建设和水资源综合管理，提升城市对洪涝的韧性和水安全。该政策借鉴了美国的低影响开发（LID）、英国的可持续排水系统（SuDS）、澳大利亚的水敏感城市设计（WSUD）等国际经验，并将其制度化、规模化。</w:t>
      </w:r>
    </w:p>
    <w:p w14:paraId="4DFE6133">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Schünemann等人选取</w:t>
      </w: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多住宅区雨水滞留适应措施的实施动态</w:t>
      </w:r>
      <w:r>
        <w:rPr>
          <w:rFonts w:hint="eastAsia" w:ascii="方正仿宋_GB2312" w:hAnsi="方正仿宋_GB2312" w:eastAsia="方正仿宋_GB2312" w:cs="方正仿宋_GB2312"/>
          <w:i w:val="0"/>
          <w:iCs w:val="0"/>
          <w:caps w:val="0"/>
          <w:color w:val="0F1115"/>
          <w:spacing w:val="0"/>
          <w:sz w:val="24"/>
          <w:szCs w:val="24"/>
          <w:shd w:val="clear" w:fill="FFFFFF"/>
        </w:rPr>
        <w:t>作为统一建模主题，针对同一政策问题构建了STM、SDM和ABM三个模型。这一研究设计确保了比较的公平性：模型差异源于方法本身，而非问题定义。</w:t>
      </w:r>
    </w:p>
    <w:p w14:paraId="10EE6A7C">
      <w:pPr>
        <w:pStyle w:val="4"/>
        <w:keepNext w:val="0"/>
        <w:keepLines w:val="0"/>
        <w:widowControl/>
        <w:suppressLineNumbers w:val="0"/>
        <w:shd w:val="clear" w:fill="FFFFFF"/>
        <w:spacing w:before="320" w:beforeAutospacing="0" w:after="160" w:afterAutospacing="0" w:line="300" w:lineRule="atLeast"/>
        <w:ind w:left="0" w:right="0" w:firstLine="0"/>
        <w:rPr>
          <w:rFonts w:hint="eastAsia" w:ascii="方正仿宋_GB2312" w:hAnsi="方正仿宋_GB2312" w:eastAsia="方正仿宋_GB2312" w:cs="方正仿宋_GB2312"/>
          <w:b/>
          <w:bCs/>
          <w:caps w:val="0"/>
          <w:color w:val="0F1115"/>
          <w:spacing w:val="0"/>
          <w:sz w:val="24"/>
          <w:szCs w:val="24"/>
        </w:rPr>
      </w:pPr>
      <w:r>
        <w:rPr>
          <w:rFonts w:hint="eastAsia" w:ascii="方正仿宋_GB2312" w:hAnsi="方正仿宋_GB2312" w:eastAsia="方正仿宋_GB2312" w:cs="方正仿宋_GB2312"/>
          <w:b/>
          <w:bCs/>
          <w:caps w:val="0"/>
          <w:color w:val="0F1115"/>
          <w:spacing w:val="0"/>
          <w:sz w:val="24"/>
          <w:szCs w:val="24"/>
          <w:shd w:val="clear" w:fill="FFFFFF"/>
        </w:rPr>
        <w:t>3.2 主要研究发现</w:t>
      </w:r>
    </w:p>
    <w:p w14:paraId="5FE785C9">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绿色绅士化风险的识别</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：研究的一个重要发现是，三种模型均揭示了海绵城市政策可能带来的</w:t>
      </w: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绿色绅士化</w:t>
      </w:r>
      <w:r>
        <w:rPr>
          <w:rFonts w:hint="eastAsia" w:ascii="方正仿宋_GB2312" w:hAnsi="方正仿宋_GB2312" w:eastAsia="方正仿宋_GB2312" w:cs="方正仿宋_GB2312"/>
          <w:i w:val="0"/>
          <w:iCs w:val="0"/>
          <w:caps w:val="0"/>
          <w:color w:val="0F1115"/>
          <w:spacing w:val="0"/>
          <w:sz w:val="24"/>
          <w:szCs w:val="24"/>
          <w:shd w:val="clear" w:fill="FFFFFF"/>
        </w:rPr>
        <w:t>风险。即，雨水滞留设施的实施可能提升社区环境质量，进而推高周边房价，导致原有低收入居民被迫迁出——这一社会副作用是传统工程导向的政策评估难以预见的。</w:t>
      </w:r>
    </w:p>
    <w:p w14:paraId="729D723A">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b w:val="0"/>
          <w:bCs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政策干预的效果差异</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：研究实施了三项假设政策，以比较不同建模方法对政策效果的评估差异：</w:t>
      </w:r>
    </w:p>
    <w:p w14:paraId="7F69B5C8">
      <w:pPr>
        <w:pStyle w:val="5"/>
        <w:keepNext w:val="0"/>
        <w:keepLines w:val="0"/>
        <w:widowControl/>
        <w:suppressLineNumbers w:val="0"/>
        <w:spacing w:before="0" w:beforeAutospacing="0" w:after="0" w:afterAutospacing="0"/>
        <w:ind w:left="0" w:right="0"/>
        <w:rPr>
          <w:rFonts w:hint="eastAsia" w:ascii="方正仿宋_GB2312" w:hAnsi="方正仿宋_GB2312" w:eastAsia="方正仿宋_GB2312" w:cs="方正仿宋_GB2312"/>
          <w:b w:val="0"/>
          <w:bCs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政策A</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：财政补贴，鼓励居民安装雨水设施</w:t>
      </w:r>
    </w:p>
    <w:p w14:paraId="7DBEE94C">
      <w:pPr>
        <w:pStyle w:val="5"/>
        <w:keepNext w:val="0"/>
        <w:keepLines w:val="0"/>
        <w:widowControl/>
        <w:suppressLineNumbers w:val="0"/>
        <w:spacing w:before="0" w:beforeAutospacing="0" w:after="0" w:afterAutospacing="0"/>
        <w:ind w:left="0" w:right="0"/>
        <w:rPr>
          <w:rFonts w:hint="eastAsia" w:ascii="方正仿宋_GB2312" w:hAnsi="方正仿宋_GB2312" w:eastAsia="方正仿宋_GB2312" w:cs="方正仿宋_GB2312"/>
          <w:b w:val="0"/>
          <w:bCs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政策B</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：信息宣传，提高居民对设施效益的认知</w:t>
      </w:r>
    </w:p>
    <w:p w14:paraId="28427C17">
      <w:pPr>
        <w:pStyle w:val="5"/>
        <w:keepNext w:val="0"/>
        <w:keepLines w:val="0"/>
        <w:widowControl/>
        <w:suppressLineNumbers w:val="0"/>
        <w:spacing w:before="0" w:beforeAutospacing="0" w:after="0" w:afterAutospacing="0"/>
        <w:ind w:left="0" w:right="0"/>
        <w:rPr>
          <w:rFonts w:hint="eastAsia" w:ascii="方正仿宋_GB2312" w:hAnsi="方正仿宋_GB2312" w:eastAsia="方正仿宋_GB2312" w:cs="方正仿宋_GB2312"/>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政策C</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w:t>
      </w:r>
      <w:r>
        <w:rPr>
          <w:rFonts w:hint="eastAsia" w:ascii="方正仿宋_GB2312" w:hAnsi="方正仿宋_GB2312" w:eastAsia="方正仿宋_GB2312" w:cs="方正仿宋_GB2312"/>
          <w:i w:val="0"/>
          <w:iCs w:val="0"/>
          <w:caps w:val="0"/>
          <w:color w:val="0F1115"/>
          <w:spacing w:val="0"/>
          <w:sz w:val="24"/>
          <w:szCs w:val="24"/>
          <w:shd w:val="clear" w:fill="FFFFFF"/>
        </w:rPr>
        <w:t>规制要求，强制新建项目配备雨水设施</w:t>
      </w:r>
    </w:p>
    <w:p w14:paraId="245EED82">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ABM模型能够揭示不同居民群体对政策的差异化响应——年轻高收入群体可能更积极响应补贴，而老年低收入群体则可能因信息壁垒或资金约束反应迟缓。SDM模型则揭示了政策效果随时间的动态演变——补贴政策初期效果显著但可能因财政不可持续而衰减。STM模型提供了整体系统视角，揭示了不同政策工具间的潜在协同与冲突。</w:t>
      </w:r>
    </w:p>
    <w:p w14:paraId="402DD4E5">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eastAsia" w:ascii="方正仿宋_GB2312" w:hAnsi="方正仿宋_GB2312" w:eastAsia="方正仿宋_GB2312" w:cs="方正仿宋_GB2312"/>
          <w:b/>
          <w:bCs/>
          <w:caps w:val="0"/>
          <w:color w:val="0F1115"/>
          <w:spacing w:val="0"/>
          <w:sz w:val="24"/>
          <w:szCs w:val="24"/>
        </w:rPr>
      </w:pPr>
      <w:r>
        <w:rPr>
          <w:rFonts w:hint="eastAsia" w:ascii="方正仿宋_GB2312" w:hAnsi="方正仿宋_GB2312" w:eastAsia="方正仿宋_GB2312" w:cs="方正仿宋_GB2312"/>
          <w:b/>
          <w:bCs/>
          <w:caps w:val="0"/>
          <w:color w:val="0F1115"/>
          <w:spacing w:val="0"/>
          <w:sz w:val="24"/>
          <w:szCs w:val="24"/>
          <w:shd w:val="clear" w:fill="FFFFFF"/>
        </w:rPr>
        <w:t>四、心理学与管理学模型融合应用案例分析</w:t>
      </w:r>
    </w:p>
    <w:p w14:paraId="2828813A">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本章重点引入将心理学与管理学领域的专业模型整合应用于社会现象仿真模拟的前沿案例，展示跨学科理论融合如何深化行为建模的理论基础与政策评估的解释力。</w:t>
      </w:r>
    </w:p>
    <w:p w14:paraId="0968A082">
      <w:pPr>
        <w:pStyle w:val="4"/>
        <w:keepNext w:val="0"/>
        <w:keepLines w:val="0"/>
        <w:widowControl/>
        <w:suppressLineNumbers w:val="0"/>
        <w:shd w:val="clear" w:fill="FFFFFF"/>
        <w:spacing w:before="320" w:beforeAutospacing="0" w:after="160" w:afterAutospacing="0" w:line="300" w:lineRule="atLeast"/>
        <w:ind w:left="0" w:right="0" w:firstLine="0"/>
        <w:rPr>
          <w:rFonts w:hint="eastAsia" w:ascii="方正仿宋_GB2312" w:hAnsi="方正仿宋_GB2312" w:eastAsia="方正仿宋_GB2312" w:cs="方正仿宋_GB2312"/>
          <w:b/>
          <w:bCs/>
          <w:caps w:val="0"/>
          <w:color w:val="0F1115"/>
          <w:spacing w:val="0"/>
          <w:sz w:val="24"/>
          <w:szCs w:val="24"/>
        </w:rPr>
      </w:pPr>
      <w:r>
        <w:rPr>
          <w:rFonts w:hint="eastAsia" w:ascii="方正仿宋_GB2312" w:hAnsi="方正仿宋_GB2312" w:eastAsia="方正仿宋_GB2312" w:cs="方正仿宋_GB2312"/>
          <w:b/>
          <w:bCs/>
          <w:caps w:val="0"/>
          <w:color w:val="0F1115"/>
          <w:spacing w:val="0"/>
          <w:sz w:val="24"/>
          <w:szCs w:val="24"/>
          <w:shd w:val="clear" w:fill="FFFFFF"/>
        </w:rPr>
        <w:t>4.1 社会心理学模型的融合应用：计划行为理论与邻避效应模拟</w:t>
      </w:r>
    </w:p>
    <w:p w14:paraId="1998589E">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社会心理学中的</w:t>
      </w: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计划行为理论（Theory of Planned Behavior, TPB）</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 </w:t>
      </w:r>
      <w:r>
        <w:rPr>
          <w:rFonts w:hint="eastAsia" w:ascii="方正仿宋_GB2312" w:hAnsi="方正仿宋_GB2312" w:eastAsia="方正仿宋_GB2312" w:cs="方正仿宋_GB2312"/>
          <w:i w:val="0"/>
          <w:iCs w:val="0"/>
          <w:caps w:val="0"/>
          <w:color w:val="0F1115"/>
          <w:spacing w:val="0"/>
          <w:sz w:val="24"/>
          <w:szCs w:val="24"/>
          <w:shd w:val="clear" w:fill="FFFFFF"/>
        </w:rPr>
        <w:t>已成为智能体建模中应用最为广泛的行为理论框架之一。Taraghi与Yoder对36项将TPB整合进入ABM的环境行为研究进行了系统综述，发现该理论在环境 conservation、水资源管理、农业与能源等领域的亲环境行为模拟中得到广泛应用</w: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instrText xml:space="preserve"> HYPERLINK "https://www.sciencedirect.com/science/article/abs/pii/S0304380025002170" \t "https://chat.deepseek.com/a/chat/s/_blank" </w:instrTex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end"/>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instrText xml:space="preserve"> HYPERLINK "https://ideas.repec.org/a/eee/ecomod/v508y2025ics0304380025002170.html" \t "https://chat.deepseek.com/a/chat/s/_blank" </w:instrTex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end"/>
      </w:r>
      <w:r>
        <w:rPr>
          <w:rFonts w:hint="eastAsia" w:ascii="方正仿宋_GB2312" w:hAnsi="方正仿宋_GB2312" w:eastAsia="方正仿宋_GB2312" w:cs="方正仿宋_GB2312"/>
          <w:i w:val="0"/>
          <w:iCs w:val="0"/>
          <w:caps w:val="0"/>
          <w:color w:val="0F1115"/>
          <w:spacing w:val="0"/>
          <w:sz w:val="24"/>
          <w:szCs w:val="24"/>
          <w:shd w:val="clear" w:fill="FFFFFF"/>
        </w:rPr>
        <w:t>。</w:t>
      </w:r>
    </w:p>
    <w:p w14:paraId="73466871">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TPB的核心构念包括：</w:t>
      </w:r>
    </w:p>
    <w:p w14:paraId="1CBA5871">
      <w:pPr>
        <w:pStyle w:val="5"/>
        <w:keepNext w:val="0"/>
        <w:keepLines w:val="0"/>
        <w:widowControl/>
        <w:suppressLineNumbers w:val="0"/>
        <w:spacing w:before="0" w:beforeAutospacing="0" w:after="0" w:afterAutospacing="0"/>
        <w:ind w:left="0" w:right="0"/>
        <w:rPr>
          <w:rFonts w:hint="eastAsia" w:ascii="方正仿宋_GB2312" w:hAnsi="方正仿宋_GB2312" w:eastAsia="方正仿宋_GB2312" w:cs="方正仿宋_GB2312"/>
          <w:b w:val="0"/>
          <w:bCs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行为态度</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：个体对行为结果的评价</w:t>
      </w:r>
    </w:p>
    <w:p w14:paraId="0F82C6A1">
      <w:pPr>
        <w:pStyle w:val="5"/>
        <w:keepNext w:val="0"/>
        <w:keepLines w:val="0"/>
        <w:widowControl/>
        <w:suppressLineNumbers w:val="0"/>
        <w:spacing w:before="0" w:beforeAutospacing="0" w:after="0" w:afterAutospacing="0"/>
        <w:ind w:left="0" w:right="0"/>
        <w:rPr>
          <w:rFonts w:hint="eastAsia" w:ascii="方正仿宋_GB2312" w:hAnsi="方正仿宋_GB2312" w:eastAsia="方正仿宋_GB2312" w:cs="方正仿宋_GB2312"/>
          <w:b w:val="0"/>
          <w:bCs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主观规范</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：感知到的社会压力</w:t>
      </w:r>
    </w:p>
    <w:p w14:paraId="5A4B099C">
      <w:pPr>
        <w:pStyle w:val="5"/>
        <w:keepNext w:val="0"/>
        <w:keepLines w:val="0"/>
        <w:widowControl/>
        <w:suppressLineNumbers w:val="0"/>
        <w:spacing w:before="0" w:beforeAutospacing="0" w:after="0" w:afterAutospacing="0"/>
        <w:ind w:left="0" w:right="0"/>
        <w:rPr>
          <w:rFonts w:hint="eastAsia" w:ascii="方正仿宋_GB2312" w:hAnsi="方正仿宋_GB2312" w:eastAsia="方正仿宋_GB2312" w:cs="方正仿宋_GB2312"/>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知觉行为控制</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w:t>
      </w:r>
      <w:r>
        <w:rPr>
          <w:rFonts w:hint="eastAsia" w:ascii="方正仿宋_GB2312" w:hAnsi="方正仿宋_GB2312" w:eastAsia="方正仿宋_GB2312" w:cs="方正仿宋_GB2312"/>
          <w:i w:val="0"/>
          <w:iCs w:val="0"/>
          <w:caps w:val="0"/>
          <w:color w:val="0F1115"/>
          <w:spacing w:val="0"/>
          <w:sz w:val="24"/>
          <w:szCs w:val="24"/>
          <w:shd w:val="clear" w:fill="FFFFFF"/>
        </w:rPr>
        <w:t>感知到的行为难易程度</w:t>
      </w:r>
    </w:p>
    <w:p w14:paraId="4B6B99A4">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这些构念在ABM中通过外部控制变量、内部代理变量以及社会网络结构的中介作用被转化为智能体的决策规则。研究发现，近半数的研究采用TPB的扩展版本或将TPB与其他行为理论整合，显示出该理论在建模实践中的灵活性</w: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instrText xml:space="preserve"> HYPERLINK "https://www.sciencedirect.com/science/article/abs/pii/S0304380025002170" \t "https://chat.deepseek.com/a/chat/s/_blank" </w:instrTex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end"/>
      </w:r>
      <w:r>
        <w:rPr>
          <w:rFonts w:hint="eastAsia" w:ascii="方正仿宋_GB2312" w:hAnsi="方正仿宋_GB2312" w:eastAsia="方正仿宋_GB2312" w:cs="方正仿宋_GB2312"/>
          <w:i w:val="0"/>
          <w:iCs w:val="0"/>
          <w:caps w:val="0"/>
          <w:color w:val="0F1115"/>
          <w:spacing w:val="0"/>
          <w:sz w:val="24"/>
          <w:szCs w:val="24"/>
          <w:shd w:val="clear" w:fill="FFFFFF"/>
        </w:rPr>
        <w:t>。</w:t>
      </w:r>
    </w:p>
    <w:p w14:paraId="2D313926">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在公共管理领域，TPB与ABM的融合为</w:t>
      </w: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邻避效应</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的动态模拟提供了理论工具。Liu等人基于</w:t>
      </w: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意见动力学理论</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构建</w:t>
      </w:r>
      <w:r>
        <w:rPr>
          <w:rFonts w:hint="eastAsia" w:ascii="方正仿宋_GB2312" w:hAnsi="方正仿宋_GB2312" w:eastAsia="方正仿宋_GB2312" w:cs="方正仿宋_GB2312"/>
          <w:i w:val="0"/>
          <w:iCs w:val="0"/>
          <w:caps w:val="0"/>
          <w:color w:val="0F1115"/>
          <w:spacing w:val="0"/>
          <w:sz w:val="24"/>
          <w:szCs w:val="24"/>
          <w:shd w:val="clear" w:fill="FFFFFF"/>
        </w:rPr>
        <w:t>了公众对邻避设施态度的演化模型，将公众区分为普通个体、意见领袖和顽固派三类，模拟了政府响应时效性、补偿程度和媒体信息对公众态度演化的影响</w: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instrText xml:space="preserve"> HYPERLINK "https://ouci.dntb.gov.ua/en/works/4gG8mqL4/" \t "https://chat.deepseek.com/a/chat/s/_blank" </w:instrTex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end"/>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instrText xml:space="preserve"> HYPERLINK "https://beta.iopscience.iop.org/article/10.1088/1742-6596/1746/1/012032" \t "https://chat.deepseek.com/a/chat/s/_blank" </w:instrTex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end"/>
      </w:r>
      <w:r>
        <w:rPr>
          <w:rFonts w:hint="eastAsia" w:ascii="方正仿宋_GB2312" w:hAnsi="方正仿宋_GB2312" w:eastAsia="方正仿宋_GB2312" w:cs="方正仿宋_GB2312"/>
          <w:i w:val="0"/>
          <w:iCs w:val="0"/>
          <w:caps w:val="0"/>
          <w:color w:val="0F1115"/>
          <w:spacing w:val="0"/>
          <w:sz w:val="24"/>
          <w:szCs w:val="24"/>
          <w:shd w:val="clear" w:fill="FFFFFF"/>
        </w:rPr>
        <w:t>。研究发现，群体中的意见领袖和顽固派对公众意见演化具有较强影响力，而政府的环境补偿只能暂时缓解邻避冲突</w: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instrText xml:space="preserve"> HYPERLINK "https://beta.iopscience.iop.org/article/10.1088/1742-6596/1746/1/012032" \t "https://chat.deepseek.com/a/chat/s/_blank" </w:instrTex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end"/>
      </w:r>
      <w:r>
        <w:rPr>
          <w:rFonts w:hint="eastAsia" w:ascii="方正仿宋_GB2312" w:hAnsi="方正仿宋_GB2312" w:eastAsia="方正仿宋_GB2312" w:cs="方正仿宋_GB2312"/>
          <w:i w:val="0"/>
          <w:iCs w:val="0"/>
          <w:caps w:val="0"/>
          <w:color w:val="0F1115"/>
          <w:spacing w:val="0"/>
          <w:sz w:val="24"/>
          <w:szCs w:val="24"/>
          <w:shd w:val="clear" w:fill="FFFFFF"/>
        </w:rPr>
        <w:t>。</w:t>
      </w:r>
    </w:p>
    <w:p w14:paraId="42219DB6">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进一步地，Zhou等人在《Environmental Impact Assessment Review》发表的RAS-Deffuant模型，整合了</w:t>
      </w: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接收-接受-抽样模型</w:t>
      </w:r>
      <w:r>
        <w:rPr>
          <w:rFonts w:hint="eastAsia" w:ascii="方正仿宋_GB2312" w:hAnsi="方正仿宋_GB2312" w:eastAsia="方正仿宋_GB2312" w:cs="方正仿宋_GB2312"/>
          <w:i w:val="0"/>
          <w:iCs w:val="0"/>
          <w:caps w:val="0"/>
          <w:color w:val="0F1115"/>
          <w:spacing w:val="0"/>
          <w:sz w:val="24"/>
          <w:szCs w:val="24"/>
          <w:shd w:val="clear" w:fill="FFFFFF"/>
        </w:rPr>
        <w:t>与意见动力学，模拟政府和媒体信息对邻避设施公众接受度的动态影响</w: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instrText xml:space="preserve"> HYPERLINK "https://library.nih.go.kr/ncmiklib/search/Retrieve.do?dbid=edselp&amp;an=S0195925525000393&amp;highlight=AND&amp;edsCnt=1552&amp;kwd=" \t "https://chat.deepseek.com/a/chat/s/_blank" </w:instrTex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end"/>
      </w:r>
      <w:r>
        <w:rPr>
          <w:rFonts w:hint="eastAsia" w:ascii="方正仿宋_GB2312" w:hAnsi="方正仿宋_GB2312" w:eastAsia="方正仿宋_GB2312" w:cs="方正仿宋_GB2312"/>
          <w:i w:val="0"/>
          <w:iCs w:val="0"/>
          <w:caps w:val="0"/>
          <w:color w:val="0F1115"/>
          <w:spacing w:val="0"/>
          <w:sz w:val="24"/>
          <w:szCs w:val="24"/>
          <w:shd w:val="clear" w:fill="FFFFFF"/>
        </w:rPr>
        <w:t>。研究的重要发现包括：</w:t>
      </w:r>
    </w:p>
    <w:p w14:paraId="3790A702">
      <w:pPr>
        <w:pStyle w:val="5"/>
        <w:keepNext w:val="0"/>
        <w:keepLines w:val="0"/>
        <w:widowControl/>
        <w:suppressLineNumbers w:val="0"/>
        <w:spacing w:before="0" w:beforeAutospacing="0" w:after="0" w:afterAutospacing="0"/>
        <w:ind w:left="0" w:right="0"/>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个体间的自我互动导致局部接受度收敛于低点</w:t>
      </w:r>
    </w:p>
    <w:p w14:paraId="70E83877">
      <w:pPr>
        <w:pStyle w:val="5"/>
        <w:keepNext w:val="0"/>
        <w:keepLines w:val="0"/>
        <w:widowControl/>
        <w:suppressLineNumbers w:val="0"/>
        <w:spacing w:before="0" w:beforeAutospacing="0" w:after="0" w:afterAutospacing="0"/>
        <w:ind w:left="0" w:right="0"/>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政府信息的早期介入能有效提升整体接受度，但对极端反对者效果有限</w:t>
      </w:r>
    </w:p>
    <w:p w14:paraId="25805E89">
      <w:pPr>
        <w:pStyle w:val="5"/>
        <w:keepNext w:val="0"/>
        <w:keepLines w:val="0"/>
        <w:widowControl/>
        <w:suppressLineNumbers w:val="0"/>
        <w:spacing w:before="0" w:beforeAutospacing="0" w:after="0" w:afterAutospacing="0"/>
        <w:ind w:left="0" w:right="0"/>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媒体的信息传播则导致态度分化</w:t>
      </w:r>
    </w:p>
    <w:p w14:paraId="31477269">
      <w:pPr>
        <w:pStyle w:val="5"/>
        <w:keepNext w:val="0"/>
        <w:keepLines w:val="0"/>
        <w:widowControl/>
        <w:suppressLineNumbers w:val="0"/>
        <w:spacing w:before="0" w:beforeAutospacing="0" w:after="0" w:afterAutospacing="0"/>
        <w:ind w:left="0" w:right="0"/>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公众对信息的响应受个体人格特质影响，尤其是抗拒倾向的显著作用</w: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instrText xml:space="preserve"> HYPERLINK "https://library.nih.go.kr/ncmiklib/search/Retrieve.do?dbid=edselp&amp;an=S0195925525000393&amp;highlight=AND&amp;edsCnt=1552&amp;kwd=" \t "https://chat.deepseek.com/a/chat/s/_blank" </w:instrTex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end"/>
      </w:r>
    </w:p>
    <w:p w14:paraId="15B89E75">
      <w:pPr>
        <w:pStyle w:val="4"/>
        <w:keepNext w:val="0"/>
        <w:keepLines w:val="0"/>
        <w:widowControl/>
        <w:suppressLineNumbers w:val="0"/>
        <w:shd w:val="clear" w:fill="FFFFFF"/>
        <w:spacing w:before="320" w:beforeAutospacing="0" w:after="160" w:afterAutospacing="0" w:line="300" w:lineRule="atLeast"/>
        <w:ind w:left="0" w:right="0" w:firstLine="0"/>
        <w:rPr>
          <w:rFonts w:hint="eastAsia" w:ascii="方正仿宋_GB2312" w:hAnsi="方正仿宋_GB2312" w:eastAsia="方正仿宋_GB2312" w:cs="方正仿宋_GB2312"/>
          <w:b/>
          <w:bCs/>
          <w:caps w:val="0"/>
          <w:color w:val="0F1115"/>
          <w:spacing w:val="0"/>
          <w:sz w:val="24"/>
          <w:szCs w:val="24"/>
        </w:rPr>
      </w:pPr>
      <w:r>
        <w:rPr>
          <w:rFonts w:hint="eastAsia" w:ascii="方正仿宋_GB2312" w:hAnsi="方正仿宋_GB2312" w:eastAsia="方正仿宋_GB2312" w:cs="方正仿宋_GB2312"/>
          <w:b/>
          <w:bCs/>
          <w:caps w:val="0"/>
          <w:color w:val="0F1115"/>
          <w:spacing w:val="0"/>
          <w:sz w:val="24"/>
          <w:szCs w:val="24"/>
          <w:shd w:val="clear" w:fill="FFFFFF"/>
        </w:rPr>
        <w:t>4.2 认知心理学与人格模型的融合：BDI-TPB整合架构</w:t>
      </w:r>
    </w:p>
    <w:p w14:paraId="07507EC4">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b w:val="0"/>
          <w:bCs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将认知心理学中的</w:t>
      </w: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信念-欲望-意图（BDI）架构</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与TPB整合，为建模个体决策过程提供了更精细的理论工具。Afshar Sedigh等人提出了一种精细化的认知架构，将信念区分为三个层面：</w:t>
      </w:r>
    </w:p>
    <w:p w14:paraId="45ABA92B">
      <w:pPr>
        <w:pStyle w:val="5"/>
        <w:keepNext w:val="0"/>
        <w:keepLines w:val="0"/>
        <w:widowControl/>
        <w:suppressLineNumbers w:val="0"/>
        <w:spacing w:before="0" w:beforeAutospacing="0" w:after="0" w:afterAutospacing="0"/>
        <w:ind w:left="0" w:right="0"/>
        <w:rPr>
          <w:rFonts w:hint="eastAsia" w:ascii="方正仿宋_GB2312" w:hAnsi="方正仿宋_GB2312" w:eastAsia="方正仿宋_GB2312" w:cs="方正仿宋_GB2312"/>
          <w:b w:val="0"/>
          <w:bCs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内部信念</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：个体对规则的接受程度，体现行为信念</w:t>
      </w:r>
    </w:p>
    <w:p w14:paraId="1102E5E2">
      <w:pPr>
        <w:pStyle w:val="5"/>
        <w:keepNext w:val="0"/>
        <w:keepLines w:val="0"/>
        <w:widowControl/>
        <w:suppressLineNumbers w:val="0"/>
        <w:spacing w:before="0" w:beforeAutospacing="0" w:after="0" w:afterAutospacing="0"/>
        <w:ind w:left="0" w:right="0"/>
        <w:rPr>
          <w:rFonts w:hint="eastAsia" w:ascii="方正仿宋_GB2312" w:hAnsi="方正仿宋_GB2312" w:eastAsia="方正仿宋_GB2312" w:cs="方正仿宋_GB2312"/>
          <w:b w:val="0"/>
          <w:bCs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感知规范</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：对社会支持的感知，体现规范信念</w:t>
      </w:r>
    </w:p>
    <w:p w14:paraId="1C0EB2EE">
      <w:pPr>
        <w:pStyle w:val="5"/>
        <w:keepNext w:val="0"/>
        <w:keepLines w:val="0"/>
        <w:widowControl/>
        <w:suppressLineNumbers w:val="0"/>
        <w:spacing w:before="0" w:beforeAutospacing="0" w:after="0" w:afterAutospacing="0"/>
        <w:ind w:left="0" w:right="0"/>
        <w:rPr>
          <w:rFonts w:hint="eastAsia" w:ascii="方正仿宋_GB2312" w:hAnsi="方正仿宋_GB2312" w:eastAsia="方正仿宋_GB2312" w:cs="方正仿宋_GB2312"/>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规则理解</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w:t>
      </w:r>
      <w:r>
        <w:rPr>
          <w:rFonts w:hint="eastAsia" w:ascii="方正仿宋_GB2312" w:hAnsi="方正仿宋_GB2312" w:eastAsia="方正仿宋_GB2312" w:cs="方正仿宋_GB2312"/>
          <w:i w:val="0"/>
          <w:iCs w:val="0"/>
          <w:caps w:val="0"/>
          <w:color w:val="0F1115"/>
          <w:spacing w:val="0"/>
          <w:sz w:val="24"/>
          <w:szCs w:val="24"/>
          <w:shd w:val="clear" w:fill="FFFFFF"/>
        </w:rPr>
        <w:t>对规则意图的认知，体现控制信念</w: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instrText xml:space="preserve"> HYPERLINK "https://ar5iv.labs.arxiv.org/html/2004.11858" \t "https://chat.deepseek.com/a/chat/s/_blank" </w:instrTex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end"/>
      </w:r>
    </w:p>
    <w:p w14:paraId="760D14C4">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该研究进一步整合了</w:t>
      </w: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MBTI人格类型</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w:t>
      </w:r>
      <w:r>
        <w:rPr>
          <w:rFonts w:hint="eastAsia" w:ascii="方正仿宋_GB2312" w:hAnsi="方正仿宋_GB2312" w:eastAsia="方正仿宋_GB2312" w:cs="方正仿宋_GB2312"/>
          <w:i w:val="0"/>
          <w:iCs w:val="0"/>
          <w:caps w:val="0"/>
          <w:color w:val="0F1115"/>
          <w:spacing w:val="0"/>
          <w:sz w:val="24"/>
          <w:szCs w:val="24"/>
          <w:shd w:val="clear" w:fill="FFFFFF"/>
        </w:rPr>
        <w:t>将人格维度（内向-外向、感觉-直觉、情感-思考、判断-感知）作为智能体决策的调节变量。通过模拟亚美尼亚商人与东印度公司两个历史贸易社会的制度遵从行为，研究揭示了内部信念在制度遵循中的核心作用</w: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instrText xml:space="preserve"> HYPERLINK "https://ar5iv.labs.arxiv.org/html/2004.11858" \t "https://chat.deepseek.com/a/chat/s/_blank" </w:instrTex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end"/>
      </w:r>
      <w:r>
        <w:rPr>
          <w:rFonts w:hint="eastAsia" w:ascii="方正仿宋_GB2312" w:hAnsi="方正仿宋_GB2312" w:eastAsia="方正仿宋_GB2312" w:cs="方正仿宋_GB2312"/>
          <w:i w:val="0"/>
          <w:iCs w:val="0"/>
          <w:caps w:val="0"/>
          <w:color w:val="0F1115"/>
          <w:spacing w:val="0"/>
          <w:sz w:val="24"/>
          <w:szCs w:val="24"/>
          <w:shd w:val="clear" w:fill="FFFFFF"/>
        </w:rPr>
        <w:t>。</w:t>
      </w:r>
    </w:p>
    <w:p w14:paraId="58A673E2">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这一融合架构对公共管理的启示在于：政策设计需要考虑不同人格特质群体的差异化响应，单一的政策工具可能在不同人格群体中产生迥异的效果。</w:t>
      </w:r>
    </w:p>
    <w:p w14:paraId="1C328004">
      <w:pPr>
        <w:pStyle w:val="4"/>
        <w:keepNext w:val="0"/>
        <w:keepLines w:val="0"/>
        <w:widowControl/>
        <w:suppressLineNumbers w:val="0"/>
        <w:shd w:val="clear" w:fill="FFFFFF"/>
        <w:spacing w:before="320" w:beforeAutospacing="0" w:after="160" w:afterAutospacing="0" w:line="300" w:lineRule="atLeast"/>
        <w:ind w:left="0" w:right="0" w:firstLine="0"/>
        <w:rPr>
          <w:rFonts w:hint="eastAsia" w:ascii="方正仿宋_GB2312" w:hAnsi="方正仿宋_GB2312" w:eastAsia="方正仿宋_GB2312" w:cs="方正仿宋_GB2312"/>
          <w:b/>
          <w:bCs/>
          <w:caps w:val="0"/>
          <w:color w:val="0F1115"/>
          <w:spacing w:val="0"/>
          <w:sz w:val="24"/>
          <w:szCs w:val="24"/>
        </w:rPr>
      </w:pPr>
      <w:r>
        <w:rPr>
          <w:rFonts w:hint="eastAsia" w:ascii="方正仿宋_GB2312" w:hAnsi="方正仿宋_GB2312" w:eastAsia="方正仿宋_GB2312" w:cs="方正仿宋_GB2312"/>
          <w:b/>
          <w:bCs/>
          <w:caps w:val="0"/>
          <w:color w:val="0F1115"/>
          <w:spacing w:val="0"/>
          <w:sz w:val="24"/>
          <w:szCs w:val="24"/>
          <w:shd w:val="clear" w:fill="FFFFFF"/>
        </w:rPr>
        <w:t>4.3 情感心理学模型的创新应用：情感控制理论</w:t>
      </w:r>
    </w:p>
    <w:p w14:paraId="6EAD8D0E">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情感心理学领域的</w:t>
      </w: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情感控制理论</w:t>
      </w:r>
      <w:r>
        <w:rPr>
          <w:rFonts w:hint="eastAsia" w:ascii="方正仿宋_GB2312" w:hAnsi="方正仿宋_GB2312" w:eastAsia="方正仿宋_GB2312" w:cs="方正仿宋_GB2312"/>
          <w:i w:val="0"/>
          <w:iCs w:val="0"/>
          <w:caps w:val="0"/>
          <w:color w:val="0F1115"/>
          <w:spacing w:val="0"/>
          <w:sz w:val="24"/>
          <w:szCs w:val="24"/>
          <w:shd w:val="clear" w:fill="FFFFFF"/>
        </w:rPr>
        <w:t>为智能体的情感建模提供了理论框架。Lithoxoidou等人开发了基于ACT的情感智能虚拟代理，通过DeepMoji网络将用户文本输入映射到三维情感空间，并使用ACT分析对ChatGPT生成的响应进行情感校准</w: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instrText xml:space="preserve"> HYPERLINK "https://pure.psu.edu/en/publications/advancing-affective-intelligence-in-virtual-agents-using-affect-c/" \t "https://chat.deepseek.com/a/chat/s/_blank" </w:instrTex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end"/>
      </w:r>
      <w:r>
        <w:rPr>
          <w:rFonts w:hint="eastAsia" w:ascii="方正仿宋_GB2312" w:hAnsi="方正仿宋_GB2312" w:eastAsia="方正仿宋_GB2312" w:cs="方正仿宋_GB2312"/>
          <w:i w:val="0"/>
          <w:iCs w:val="0"/>
          <w:caps w:val="0"/>
          <w:color w:val="0F1115"/>
          <w:spacing w:val="0"/>
          <w:sz w:val="24"/>
          <w:szCs w:val="24"/>
          <w:shd w:val="clear" w:fill="FFFFFF"/>
        </w:rPr>
        <w:t>。</w:t>
      </w:r>
    </w:p>
    <w:p w14:paraId="7B9809F8">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研究发现，经过ACT调节的响应相比未经调节的响应具有显著更低的偏离度，表明该系统更贴近预期的情感行为模式（t(1479)=-33.03, p&lt;.001, Cohen's d = 0.862）</w: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instrText xml:space="preserve"> HYPERLINK "https://pure.psu.edu/en/publications/advancing-affective-intelligence-in-virtual-agents-using-affect-c/" \t "https://chat.deepseek.com/a/chat/s/_blank" </w:instrTex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end"/>
      </w:r>
      <w:r>
        <w:rPr>
          <w:rFonts w:hint="eastAsia" w:ascii="方正仿宋_GB2312" w:hAnsi="方正仿宋_GB2312" w:eastAsia="方正仿宋_GB2312" w:cs="方正仿宋_GB2312"/>
          <w:i w:val="0"/>
          <w:iCs w:val="0"/>
          <w:caps w:val="0"/>
          <w:color w:val="0F1115"/>
          <w:spacing w:val="0"/>
          <w:sz w:val="24"/>
          <w:szCs w:val="24"/>
          <w:shd w:val="clear" w:fill="FFFFFF"/>
        </w:rPr>
        <w:t>。这一技术路线为公共管理中的公众沟通、情绪疏导和风险沟通提供了新的工具可能——例如，在邻避设施沟通中，政府智能体可以根据公众情绪状态动态调整沟通策略。</w:t>
      </w:r>
    </w:p>
    <w:p w14:paraId="5886CAEC">
      <w:pPr>
        <w:pStyle w:val="4"/>
        <w:keepNext w:val="0"/>
        <w:keepLines w:val="0"/>
        <w:widowControl/>
        <w:suppressLineNumbers w:val="0"/>
        <w:shd w:val="clear" w:fill="FFFFFF"/>
        <w:spacing w:before="320" w:beforeAutospacing="0" w:after="160" w:afterAutospacing="0" w:line="300" w:lineRule="atLeast"/>
        <w:ind w:left="0" w:right="0" w:firstLine="0"/>
        <w:rPr>
          <w:rFonts w:hint="eastAsia" w:ascii="方正仿宋_GB2312" w:hAnsi="方正仿宋_GB2312" w:eastAsia="方正仿宋_GB2312" w:cs="方正仿宋_GB2312"/>
          <w:b/>
          <w:bCs/>
          <w:caps w:val="0"/>
          <w:color w:val="0F1115"/>
          <w:spacing w:val="0"/>
          <w:sz w:val="24"/>
          <w:szCs w:val="24"/>
        </w:rPr>
      </w:pPr>
      <w:r>
        <w:rPr>
          <w:rFonts w:hint="eastAsia" w:ascii="方正仿宋_GB2312" w:hAnsi="方正仿宋_GB2312" w:eastAsia="方正仿宋_GB2312" w:cs="方正仿宋_GB2312"/>
          <w:b/>
          <w:bCs/>
          <w:caps w:val="0"/>
          <w:color w:val="0F1115"/>
          <w:spacing w:val="0"/>
          <w:sz w:val="24"/>
          <w:szCs w:val="24"/>
          <w:shd w:val="clear" w:fill="FFFFFF"/>
        </w:rPr>
        <w:t>4.4 内省建模的前沿探索：“内部议会”架构</w:t>
      </w:r>
    </w:p>
    <w:p w14:paraId="05B9D539">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Hu等人提出了一种创新的</w:t>
      </w: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多智能体心理仿真系统</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w:t>
      </w:r>
      <w:r>
        <w:rPr>
          <w:rFonts w:hint="eastAsia" w:ascii="方正仿宋_GB2312" w:hAnsi="方正仿宋_GB2312" w:eastAsia="方正仿宋_GB2312" w:cs="方正仿宋_GB2312"/>
          <w:i w:val="0"/>
          <w:iCs w:val="0"/>
          <w:caps w:val="0"/>
          <w:color w:val="0F1115"/>
          <w:spacing w:val="0"/>
          <w:sz w:val="24"/>
          <w:szCs w:val="24"/>
          <w:shd w:val="clear" w:fill="FFFFFF"/>
        </w:rPr>
        <w:t>将个体心智建模为一个“内部议会”——由多个代表不同心理学构念的子智能体组成，通过内部协商产生最终行为</w: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instrText xml:space="preserve"> HYPERLINK "https://ar5iv.labs.arxiv.org/html/2511.02606" \t "https://chat.deepseek.com/a/chat/s/_blank" </w:instrTex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end"/>
      </w:r>
      <w:r>
        <w:rPr>
          <w:rFonts w:hint="eastAsia" w:ascii="方正仿宋_GB2312" w:hAnsi="方正仿宋_GB2312" w:eastAsia="方正仿宋_GB2312" w:cs="方正仿宋_GB2312"/>
          <w:i w:val="0"/>
          <w:iCs w:val="0"/>
          <w:caps w:val="0"/>
          <w:color w:val="0F1115"/>
          <w:spacing w:val="0"/>
          <w:sz w:val="24"/>
          <w:szCs w:val="24"/>
          <w:shd w:val="clear" w:fill="FFFFFF"/>
        </w:rPr>
        <w:t>。该系统整合了自我效能感、心态理论、社会建构主义等心理学理论，每个内部智能体对应一个心理学构念（如自我效能感、数学焦虑、威胁规避、目标追求等）</w: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instrText xml:space="preserve"> HYPERLINK "https://ar5iv.labs.arxiv.org/html/2511.02606" \t "https://chat.deepseek.com/a/chat/s/_blank" </w:instrTex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end"/>
      </w:r>
      <w:r>
        <w:rPr>
          <w:rFonts w:hint="eastAsia" w:ascii="方正仿宋_GB2312" w:hAnsi="方正仿宋_GB2312" w:eastAsia="方正仿宋_GB2312" w:cs="方正仿宋_GB2312"/>
          <w:i w:val="0"/>
          <w:iCs w:val="0"/>
          <w:caps w:val="0"/>
          <w:color w:val="0F1115"/>
          <w:spacing w:val="0"/>
          <w:sz w:val="24"/>
          <w:szCs w:val="24"/>
          <w:shd w:val="clear" w:fill="FFFFFF"/>
        </w:rPr>
        <w:t>。</w:t>
      </w:r>
    </w:p>
    <w:p w14:paraId="4F08CF28">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例如，在教师培训场景中，模拟学生包含以下内部智能体：</w:t>
      </w:r>
    </w:p>
    <w:p w14:paraId="76B8A01E">
      <w:pPr>
        <w:pStyle w:val="5"/>
        <w:keepNext w:val="0"/>
        <w:keepLines w:val="0"/>
        <w:widowControl/>
        <w:suppressLineNumbers w:val="0"/>
        <w:spacing w:before="0" w:beforeAutospacing="0" w:after="0" w:afterAutospacing="0"/>
        <w:ind w:left="0" w:right="0"/>
        <w:rPr>
          <w:rFonts w:hint="eastAsia" w:ascii="方正仿宋_GB2312" w:hAnsi="方正仿宋_GB2312" w:eastAsia="方正仿宋_GB2312" w:cs="方正仿宋_GB2312"/>
          <w:b w:val="0"/>
          <w:bCs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威胁规避智能体</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：代表对失败的恐惧</w:t>
      </w:r>
    </w:p>
    <w:p w14:paraId="4A5A8FF9">
      <w:pPr>
        <w:pStyle w:val="5"/>
        <w:keepNext w:val="0"/>
        <w:keepLines w:val="0"/>
        <w:widowControl/>
        <w:suppressLineNumbers w:val="0"/>
        <w:spacing w:before="0" w:beforeAutospacing="0" w:after="0" w:afterAutospacing="0"/>
        <w:ind w:left="0" w:right="0"/>
        <w:rPr>
          <w:rFonts w:hint="eastAsia" w:ascii="方正仿宋_GB2312" w:hAnsi="方正仿宋_GB2312" w:eastAsia="方正仿宋_GB2312" w:cs="方正仿宋_GB2312"/>
          <w:b w:val="0"/>
          <w:bCs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数学焦虑智能体</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：代表对数学任务的负向情绪反应</w:t>
      </w:r>
    </w:p>
    <w:p w14:paraId="4ED7E7C7">
      <w:pPr>
        <w:pStyle w:val="5"/>
        <w:keepNext w:val="0"/>
        <w:keepLines w:val="0"/>
        <w:widowControl/>
        <w:suppressLineNumbers w:val="0"/>
        <w:spacing w:before="0" w:beforeAutospacing="0" w:after="0" w:afterAutospacing="0"/>
        <w:ind w:left="0" w:right="0"/>
        <w:rPr>
          <w:rFonts w:hint="eastAsia" w:ascii="方正仿宋_GB2312" w:hAnsi="方正仿宋_GB2312" w:eastAsia="方正仿宋_GB2312" w:cs="方正仿宋_GB2312"/>
          <w:b w:val="0"/>
          <w:bCs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空间推理智能体</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：代表特定领域的认知优势</w:t>
      </w:r>
    </w:p>
    <w:p w14:paraId="020BF4E6">
      <w:pPr>
        <w:pStyle w:val="5"/>
        <w:keepNext w:val="0"/>
        <w:keepLines w:val="0"/>
        <w:widowControl/>
        <w:suppressLineNumbers w:val="0"/>
        <w:spacing w:before="0" w:beforeAutospacing="0" w:after="0" w:afterAutospacing="0"/>
        <w:ind w:left="0" w:right="0"/>
        <w:rPr>
          <w:rFonts w:hint="eastAsia" w:ascii="方正仿宋_GB2312" w:hAnsi="方正仿宋_GB2312" w:eastAsia="方正仿宋_GB2312" w:cs="方正仿宋_GB2312"/>
          <w:b w:val="0"/>
          <w:bCs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目标追求智能体</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：代表成就动机与坚持性</w:t>
      </w:r>
    </w:p>
    <w:p w14:paraId="6F2983F3">
      <w:pPr>
        <w:pStyle w:val="5"/>
        <w:keepNext w:val="0"/>
        <w:keepLines w:val="0"/>
        <w:widowControl/>
        <w:suppressLineNumbers w:val="0"/>
        <w:spacing w:before="0" w:beforeAutospacing="0" w:after="0" w:afterAutospacing="0"/>
        <w:ind w:left="0" w:right="0"/>
        <w:rPr>
          <w:rFonts w:hint="eastAsia" w:ascii="方正仿宋_GB2312" w:hAnsi="方正仿宋_GB2312" w:eastAsia="方正仿宋_GB2312" w:cs="方正仿宋_GB2312"/>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自我效能智能体</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w:t>
      </w:r>
      <w:r>
        <w:rPr>
          <w:rFonts w:hint="eastAsia" w:ascii="方正仿宋_GB2312" w:hAnsi="方正仿宋_GB2312" w:eastAsia="方正仿宋_GB2312" w:cs="方正仿宋_GB2312"/>
          <w:i w:val="0"/>
          <w:iCs w:val="0"/>
          <w:caps w:val="0"/>
          <w:color w:val="0F1115"/>
          <w:spacing w:val="0"/>
          <w:sz w:val="24"/>
          <w:szCs w:val="24"/>
          <w:shd w:val="clear" w:fill="FFFFFF"/>
        </w:rPr>
        <w:t>代表对自身能力的信念</w: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instrText xml:space="preserve"> HYPERLINK "https://ar5iv.labs.arxiv.org/html/2511.02606" \t "https://chat.deepseek.com/a/chat/s/_blank" </w:instrTex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end"/>
      </w:r>
    </w:p>
    <w:p w14:paraId="3712D2CC">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这些内部智能体通过多轮辩论形成最终行为，使系统能够展现真实人类的内在冲突与情境依赖的变异性。例如，同一学生可能在几何问题上表现自信，但在代数问题上却表现出焦虑——这一现象通过空间推理智能体与数学焦虑智能体的差异化激活得以实现</w: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instrText xml:space="preserve"> HYPERLINK "https://ar5iv.labs.arxiv.org/html/2511.02606" \t "https://chat.deepseek.com/a/chat/s/_blank" </w:instrTex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end"/>
      </w:r>
      <w:r>
        <w:rPr>
          <w:rFonts w:hint="eastAsia" w:ascii="方正仿宋_GB2312" w:hAnsi="方正仿宋_GB2312" w:eastAsia="方正仿宋_GB2312" w:cs="方正仿宋_GB2312"/>
          <w:i w:val="0"/>
          <w:iCs w:val="0"/>
          <w:caps w:val="0"/>
          <w:color w:val="0F1115"/>
          <w:spacing w:val="0"/>
          <w:sz w:val="24"/>
          <w:szCs w:val="24"/>
          <w:shd w:val="clear" w:fill="FFFFFF"/>
        </w:rPr>
        <w:t>。</w:t>
      </w:r>
    </w:p>
    <w:p w14:paraId="1908479C">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这一“内省建模”思路对公共管理的启示在于：公众的态度与行为是多重心理因素交互作用的结果，政策干预需要识别并作用于关键的心理构念。</w:t>
      </w:r>
    </w:p>
    <w:p w14:paraId="7B7E251F">
      <w:pPr>
        <w:pStyle w:val="4"/>
        <w:keepNext w:val="0"/>
        <w:keepLines w:val="0"/>
        <w:widowControl/>
        <w:suppressLineNumbers w:val="0"/>
        <w:shd w:val="clear" w:fill="FFFFFF"/>
        <w:spacing w:before="320" w:beforeAutospacing="0" w:after="160" w:afterAutospacing="0" w:line="300" w:lineRule="atLeast"/>
        <w:ind w:left="0" w:right="0" w:firstLine="0"/>
        <w:rPr>
          <w:rFonts w:hint="eastAsia" w:ascii="方正仿宋_GB2312" w:hAnsi="方正仿宋_GB2312" w:eastAsia="方正仿宋_GB2312" w:cs="方正仿宋_GB2312"/>
          <w:b/>
          <w:bCs/>
          <w:caps w:val="0"/>
          <w:color w:val="0F1115"/>
          <w:spacing w:val="0"/>
          <w:sz w:val="24"/>
          <w:szCs w:val="24"/>
        </w:rPr>
      </w:pPr>
      <w:r>
        <w:rPr>
          <w:rFonts w:hint="eastAsia" w:ascii="方正仿宋_GB2312" w:hAnsi="方正仿宋_GB2312" w:eastAsia="方正仿宋_GB2312" w:cs="方正仿宋_GB2312"/>
          <w:b/>
          <w:bCs/>
          <w:caps w:val="0"/>
          <w:color w:val="0F1115"/>
          <w:spacing w:val="0"/>
          <w:sz w:val="24"/>
          <w:szCs w:val="24"/>
          <w:shd w:val="clear" w:fill="FFFFFF"/>
        </w:rPr>
        <w:t>4.5 案例分析的方法论启示</w:t>
      </w:r>
    </w:p>
    <w:p w14:paraId="2B21FC1F">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上述案例揭示了心理学与管理学模型融合应用的几个关键启示：</w:t>
      </w:r>
    </w:p>
    <w:p w14:paraId="63F0B28D">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b w:val="0"/>
          <w:bCs w:val="0"/>
          <w:i w:val="0"/>
          <w:iCs w:val="0"/>
          <w:caps w:val="0"/>
          <w:color w:val="0F1115"/>
          <w:spacing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理论整合的必要性</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：单一理论难以全面捕捉社会行为的复杂性。TPB提供态度-规范-控制的静态结构，意见动力学捕捉社会影响的动态过程，BDI架构提供认知决策框架，ACT处理情感维度——多种理论的整合才能逼近真实行为的复杂性</w:t>
      </w:r>
      <w:r>
        <w:rPr>
          <w:rFonts w:hint="eastAsia" w:ascii="方正仿宋_GB2312" w:hAnsi="方正仿宋_GB2312" w:eastAsia="方正仿宋_GB2312" w:cs="方正仿宋_GB2312"/>
          <w:b w:val="0"/>
          <w:bCs w:val="0"/>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b w:val="0"/>
          <w:bCs w:val="0"/>
          <w:i w:val="0"/>
          <w:iCs w:val="0"/>
          <w:caps w:val="0"/>
          <w:color w:val="3964FE"/>
          <w:spacing w:val="0"/>
          <w:sz w:val="24"/>
          <w:szCs w:val="24"/>
          <w:u w:val="none"/>
          <w:bdr w:val="single" w:color="auto" w:sz="12" w:space="0"/>
          <w:shd w:val="clear" w:fill="FFFFFF"/>
        </w:rPr>
        <w:instrText xml:space="preserve"> HYPERLINK "https://www.sciencedirect.com/science/article/abs/pii/S0304380025002170" \t "https://chat.deepseek.com/a/chat/s/_blank" </w:instrText>
      </w:r>
      <w:r>
        <w:rPr>
          <w:rFonts w:hint="eastAsia" w:ascii="方正仿宋_GB2312" w:hAnsi="方正仿宋_GB2312" w:eastAsia="方正仿宋_GB2312" w:cs="方正仿宋_GB2312"/>
          <w:b w:val="0"/>
          <w:bCs w:val="0"/>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b w:val="0"/>
          <w:bCs w:val="0"/>
          <w:i w:val="0"/>
          <w:iCs w:val="0"/>
          <w:caps w:val="0"/>
          <w:color w:val="3964FE"/>
          <w:spacing w:val="0"/>
          <w:sz w:val="24"/>
          <w:szCs w:val="24"/>
          <w:u w:val="none"/>
          <w:bdr w:val="single" w:color="auto" w:sz="12" w:space="0"/>
          <w:shd w:val="clear" w:fill="FFFFFF"/>
        </w:rPr>
        <w:fldChar w:fldCharType="end"/>
      </w:r>
      <w:r>
        <w:rPr>
          <w:rFonts w:hint="eastAsia" w:ascii="方正仿宋_GB2312" w:hAnsi="方正仿宋_GB2312" w:eastAsia="方正仿宋_GB2312" w:cs="方正仿宋_GB2312"/>
          <w:b w:val="0"/>
          <w:bCs w:val="0"/>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b w:val="0"/>
          <w:bCs w:val="0"/>
          <w:i w:val="0"/>
          <w:iCs w:val="0"/>
          <w:caps w:val="0"/>
          <w:color w:val="3964FE"/>
          <w:spacing w:val="0"/>
          <w:sz w:val="24"/>
          <w:szCs w:val="24"/>
          <w:u w:val="none"/>
          <w:bdr w:val="single" w:color="auto" w:sz="12" w:space="0"/>
          <w:shd w:val="clear" w:fill="FFFFFF"/>
        </w:rPr>
        <w:instrText xml:space="preserve"> HYPERLINK "https://library.nih.go.kr/ncmiklib/search/Retrieve.do?dbid=edselp&amp;an=S0195925525000393&amp;highlight=AND&amp;edsCnt=1552&amp;kwd=" \t "https://chat.deepseek.com/a/chat/s/_blank" </w:instrText>
      </w:r>
      <w:r>
        <w:rPr>
          <w:rFonts w:hint="eastAsia" w:ascii="方正仿宋_GB2312" w:hAnsi="方正仿宋_GB2312" w:eastAsia="方正仿宋_GB2312" w:cs="方正仿宋_GB2312"/>
          <w:b w:val="0"/>
          <w:bCs w:val="0"/>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b w:val="0"/>
          <w:bCs w:val="0"/>
          <w:i w:val="0"/>
          <w:iCs w:val="0"/>
          <w:caps w:val="0"/>
          <w:color w:val="3964FE"/>
          <w:spacing w:val="0"/>
          <w:sz w:val="24"/>
          <w:szCs w:val="24"/>
          <w:u w:val="none"/>
          <w:bdr w:val="single" w:color="auto" w:sz="12" w:space="0"/>
          <w:shd w:val="clear" w:fill="FFFFFF"/>
        </w:rPr>
        <w:fldChar w:fldCharType="end"/>
      </w:r>
      <w:r>
        <w:rPr>
          <w:rFonts w:hint="eastAsia" w:ascii="方正仿宋_GB2312" w:hAnsi="方正仿宋_GB2312" w:eastAsia="方正仿宋_GB2312" w:cs="方正仿宋_GB2312"/>
          <w:b w:val="0"/>
          <w:bCs w:val="0"/>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b w:val="0"/>
          <w:bCs w:val="0"/>
          <w:i w:val="0"/>
          <w:iCs w:val="0"/>
          <w:caps w:val="0"/>
          <w:color w:val="3964FE"/>
          <w:spacing w:val="0"/>
          <w:sz w:val="24"/>
          <w:szCs w:val="24"/>
          <w:u w:val="none"/>
          <w:bdr w:val="single" w:color="auto" w:sz="12" w:space="0"/>
          <w:shd w:val="clear" w:fill="FFFFFF"/>
        </w:rPr>
        <w:instrText xml:space="preserve"> HYPERLINK "https://ar5iv.labs.arxiv.org/html/2004.11858" \t "https://chat.deepseek.com/a/chat/s/_blank" </w:instrText>
      </w:r>
      <w:r>
        <w:rPr>
          <w:rFonts w:hint="eastAsia" w:ascii="方正仿宋_GB2312" w:hAnsi="方正仿宋_GB2312" w:eastAsia="方正仿宋_GB2312" w:cs="方正仿宋_GB2312"/>
          <w:b w:val="0"/>
          <w:bCs w:val="0"/>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b w:val="0"/>
          <w:bCs w:val="0"/>
          <w:i w:val="0"/>
          <w:iCs w:val="0"/>
          <w:caps w:val="0"/>
          <w:color w:val="3964FE"/>
          <w:spacing w:val="0"/>
          <w:sz w:val="24"/>
          <w:szCs w:val="24"/>
          <w:u w:val="none"/>
          <w:bdr w:val="single" w:color="auto" w:sz="12" w:space="0"/>
          <w:shd w:val="clear" w:fill="FFFFFF"/>
        </w:rPr>
        <w:fldChar w:fldCharType="end"/>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w:t>
      </w:r>
    </w:p>
    <w:p w14:paraId="209593E5">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跨学科协作的关键作用</w:t>
      </w:r>
      <w:r>
        <w:rPr>
          <w:rFonts w:hint="eastAsia" w:ascii="方正仿宋_GB2312" w:hAnsi="方正仿宋_GB2312" w:eastAsia="方正仿宋_GB2312" w:cs="方正仿宋_GB2312"/>
          <w:i w:val="0"/>
          <w:iCs w:val="0"/>
          <w:caps w:val="0"/>
          <w:color w:val="0F1115"/>
          <w:spacing w:val="0"/>
          <w:sz w:val="24"/>
          <w:szCs w:val="24"/>
          <w:shd w:val="clear" w:fill="FFFFFF"/>
        </w:rPr>
        <w:t>：建模者与社会科学家之间的强协作对于设计理论驱动的调查、准确告知智能体行为至关重要</w: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instrText xml:space="preserve"> HYPERLINK "https://www.sciencedirect.com/science/article/abs/pii/S0304380025002170" \t "https://chat.deepseek.com/a/chat/s/_blank" </w:instrTex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end"/>
      </w:r>
      <w:r>
        <w:rPr>
          <w:rFonts w:hint="eastAsia" w:ascii="方正仿宋_GB2312" w:hAnsi="方正仿宋_GB2312" w:eastAsia="方正仿宋_GB2312" w:cs="方正仿宋_GB2312"/>
          <w:i w:val="0"/>
          <w:iCs w:val="0"/>
          <w:caps w:val="0"/>
          <w:color w:val="0F1115"/>
          <w:spacing w:val="0"/>
          <w:sz w:val="24"/>
          <w:szCs w:val="24"/>
          <w:shd w:val="clear" w:fill="FFFFFF"/>
        </w:rPr>
        <w:t>。仅有47%的研究通过自建量化调查获取TPB数据，但只有少数调查遵循了兼容性原则——这提示理论与</w:t>
      </w:r>
      <w:bookmarkStart w:id="0" w:name="_GoBack"/>
      <w:bookmarkEnd w:id="0"/>
      <w:r>
        <w:rPr>
          <w:rFonts w:hint="eastAsia" w:ascii="方正仿宋_GB2312" w:hAnsi="方正仿宋_GB2312" w:eastAsia="方正仿宋_GB2312" w:cs="方正仿宋_GB2312"/>
          <w:i w:val="0"/>
          <w:iCs w:val="0"/>
          <w:caps w:val="0"/>
          <w:color w:val="0F1115"/>
          <w:spacing w:val="0"/>
          <w:sz w:val="24"/>
          <w:szCs w:val="24"/>
          <w:shd w:val="clear" w:fill="FFFFFF"/>
        </w:rPr>
        <w:t>实证的对接需要更严谨的方法论指导。</w:t>
      </w:r>
    </w:p>
    <w:p w14:paraId="535C594F">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透明性与可复现性的挑战</w:t>
      </w:r>
      <w:r>
        <w:rPr>
          <w:rFonts w:hint="eastAsia" w:ascii="方正仿宋_GB2312" w:hAnsi="方正仿宋_GB2312" w:eastAsia="方正仿宋_GB2312" w:cs="方正仿宋_GB2312"/>
          <w:i w:val="0"/>
          <w:iCs w:val="0"/>
          <w:caps w:val="0"/>
          <w:color w:val="0F1115"/>
          <w:spacing w:val="0"/>
          <w:sz w:val="24"/>
          <w:szCs w:val="24"/>
          <w:shd w:val="clear" w:fill="FFFFFF"/>
        </w:rPr>
        <w:t>：仅有19%的TPB-ABM研究同时分享了模型文档和代码，这严重制约了领域知识的积累与方法论的标准化</w: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instrText xml:space="preserve"> HYPERLINK "https://www.sciencedirect.com/science/article/abs/pii/S0304380025002170" \t "https://chat.deepseek.com/a/chat/s/_blank" </w:instrTex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end"/>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instrText xml:space="preserve"> HYPERLINK "https://ideas.repec.org/a/eee/ecomod/v508y2025ics0304380025002170.html" \t "https://chat.deepseek.com/a/chat/s/_blank" </w:instrTex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end"/>
      </w:r>
      <w:r>
        <w:rPr>
          <w:rFonts w:hint="eastAsia" w:ascii="方正仿宋_GB2312" w:hAnsi="方正仿宋_GB2312" w:eastAsia="方正仿宋_GB2312" w:cs="方正仿宋_GB2312"/>
          <w:i w:val="0"/>
          <w:iCs w:val="0"/>
          <w:caps w:val="0"/>
          <w:color w:val="0F1115"/>
          <w:spacing w:val="0"/>
          <w:sz w:val="24"/>
          <w:szCs w:val="24"/>
          <w:shd w:val="clear" w:fill="FFFFFF"/>
        </w:rPr>
        <w:t>。发展可复用的构建模块、建立社区标准是推动领域成熟的关键路径。</w:t>
      </w:r>
    </w:p>
    <w:p w14:paraId="1FF7291E">
      <w:pPr>
        <w:pStyle w:val="3"/>
        <w:keepNext w:val="0"/>
        <w:keepLines w:val="0"/>
        <w:widowControl/>
        <w:suppressLineNumbers w:val="0"/>
        <w:shd w:val="clear" w:fill="FFFFFF"/>
        <w:spacing w:before="320" w:beforeAutospacing="0" w:after="160" w:afterAutospacing="0" w:line="320" w:lineRule="atLeast"/>
        <w:ind w:left="0" w:right="0" w:firstLine="0"/>
        <w:rPr>
          <w:rFonts w:hint="eastAsia" w:ascii="方正仿宋_GB2312" w:hAnsi="方正仿宋_GB2312" w:eastAsia="方正仿宋_GB2312" w:cs="方正仿宋_GB2312"/>
          <w:b/>
          <w:bCs/>
          <w:caps w:val="0"/>
          <w:color w:val="0F1115"/>
          <w:spacing w:val="0"/>
          <w:sz w:val="24"/>
          <w:szCs w:val="24"/>
        </w:rPr>
      </w:pPr>
      <w:r>
        <w:rPr>
          <w:rFonts w:hint="eastAsia" w:ascii="方正仿宋_GB2312" w:hAnsi="方正仿宋_GB2312" w:eastAsia="方正仿宋_GB2312" w:cs="方正仿宋_GB2312"/>
          <w:b/>
          <w:bCs/>
          <w:caps w:val="0"/>
          <w:color w:val="0F1115"/>
          <w:spacing w:val="0"/>
          <w:sz w:val="24"/>
          <w:szCs w:val="24"/>
          <w:shd w:val="clear" w:fill="FFFFFF"/>
        </w:rPr>
        <w:t>五、讨论：建模方法的选择与融合</w:t>
      </w:r>
    </w:p>
    <w:p w14:paraId="24F6D73B">
      <w:pPr>
        <w:pStyle w:val="4"/>
        <w:keepNext w:val="0"/>
        <w:keepLines w:val="0"/>
        <w:widowControl/>
        <w:suppressLineNumbers w:val="0"/>
        <w:shd w:val="clear" w:fill="FFFFFF"/>
        <w:spacing w:before="320" w:beforeAutospacing="0" w:after="160" w:afterAutospacing="0" w:line="300" w:lineRule="atLeast"/>
        <w:ind w:left="0" w:right="0" w:firstLine="0"/>
        <w:rPr>
          <w:rFonts w:hint="eastAsia" w:ascii="方正仿宋_GB2312" w:hAnsi="方正仿宋_GB2312" w:eastAsia="方正仿宋_GB2312" w:cs="方正仿宋_GB2312"/>
          <w:b/>
          <w:bCs/>
          <w:caps w:val="0"/>
          <w:color w:val="0F1115"/>
          <w:spacing w:val="0"/>
          <w:sz w:val="24"/>
          <w:szCs w:val="24"/>
        </w:rPr>
      </w:pPr>
      <w:r>
        <w:rPr>
          <w:rFonts w:hint="eastAsia" w:ascii="方正仿宋_GB2312" w:hAnsi="方正仿宋_GB2312" w:eastAsia="方正仿宋_GB2312" w:cs="方正仿宋_GB2312"/>
          <w:b/>
          <w:bCs/>
          <w:caps w:val="0"/>
          <w:color w:val="0F1115"/>
          <w:spacing w:val="0"/>
          <w:sz w:val="24"/>
          <w:szCs w:val="24"/>
          <w:shd w:val="clear" w:fill="FFFFFF"/>
        </w:rPr>
        <w:t>5.1 方法选择的权衡框架</w:t>
      </w:r>
    </w:p>
    <w:p w14:paraId="32F7F1B0">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建模方法选择中存在的核心权衡：</w:t>
      </w:r>
    </w:p>
    <w:tbl>
      <w:tblPr>
        <w:tblStyle w:val="6"/>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2"/>
        <w:gridCol w:w="1937"/>
        <w:gridCol w:w="1937"/>
        <w:gridCol w:w="2357"/>
      </w:tblGrid>
      <w:tr w14:paraId="081CD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03BBAD07">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维度</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152DBA7">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STM</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41891564">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SDM</w:t>
            </w:r>
          </w:p>
        </w:tc>
        <w:tc>
          <w:tcPr>
            <w:tcW w:w="2357"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3BB34B0C">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ABM</w:t>
            </w:r>
          </w:p>
        </w:tc>
      </w:tr>
      <w:tr w14:paraId="1984C8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2A0D4343">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建模投入</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596833D0">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低</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6C802737">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中</w:t>
            </w:r>
          </w:p>
        </w:tc>
        <w:tc>
          <w:tcPr>
            <w:tcW w:w="2357"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36E84C48">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高</w:t>
            </w:r>
          </w:p>
        </w:tc>
      </w:tr>
      <w:tr w14:paraId="10F6C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2532D79E">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数据需求</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66CECBA3">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低</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70F6F294">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中</w:t>
            </w:r>
          </w:p>
        </w:tc>
        <w:tc>
          <w:tcPr>
            <w:tcW w:w="2357" w:type="dxa"/>
            <w:tcBorders>
              <w:top w:val="nil"/>
              <w:left w:val="nil"/>
              <w:bottom w:val="nil"/>
              <w:right w:val="nil"/>
            </w:tcBorders>
            <w:shd w:val="clear" w:color="auto" w:fill="auto"/>
            <w:noWrap w:val="0"/>
            <w:tcMar>
              <w:top w:w="100" w:type="dxa"/>
              <w:left w:w="160" w:type="dxa"/>
              <w:bottom w:w="100" w:type="dxa"/>
              <w:right w:w="-1" w:type="dxa"/>
            </w:tcMar>
            <w:vAlign w:val="center"/>
          </w:tcPr>
          <w:p w14:paraId="4E61FB5C">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高</w:t>
            </w:r>
          </w:p>
        </w:tc>
      </w:tr>
      <w:tr w14:paraId="676A43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5DDDDB1B">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异质性处理</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7B6B095B">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不适用</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29ABA6E7">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弱</w:t>
            </w:r>
          </w:p>
        </w:tc>
        <w:tc>
          <w:tcPr>
            <w:tcW w:w="2357" w:type="dxa"/>
            <w:tcBorders>
              <w:top w:val="nil"/>
              <w:left w:val="nil"/>
              <w:bottom w:val="nil"/>
              <w:right w:val="nil"/>
            </w:tcBorders>
            <w:shd w:val="clear" w:color="auto" w:fill="auto"/>
            <w:noWrap w:val="0"/>
            <w:tcMar>
              <w:top w:w="100" w:type="dxa"/>
              <w:left w:w="160" w:type="dxa"/>
              <w:bottom w:w="100" w:type="dxa"/>
              <w:right w:w="-1" w:type="dxa"/>
            </w:tcMar>
            <w:vAlign w:val="center"/>
          </w:tcPr>
          <w:p w14:paraId="44407698">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强</w:t>
            </w:r>
          </w:p>
        </w:tc>
      </w:tr>
      <w:tr w14:paraId="3B84A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59C281B6">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空间性处理</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0D6F022D">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弱</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1F7719D3">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中</w:t>
            </w:r>
          </w:p>
        </w:tc>
        <w:tc>
          <w:tcPr>
            <w:tcW w:w="2357" w:type="dxa"/>
            <w:tcBorders>
              <w:top w:val="nil"/>
              <w:left w:val="nil"/>
              <w:bottom w:val="nil"/>
              <w:right w:val="nil"/>
            </w:tcBorders>
            <w:shd w:val="clear" w:color="auto" w:fill="auto"/>
            <w:noWrap w:val="0"/>
            <w:tcMar>
              <w:top w:w="100" w:type="dxa"/>
              <w:left w:w="160" w:type="dxa"/>
              <w:bottom w:w="100" w:type="dxa"/>
              <w:right w:w="-1" w:type="dxa"/>
            </w:tcMar>
            <w:vAlign w:val="center"/>
          </w:tcPr>
          <w:p w14:paraId="1957B2BB">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强</w:t>
            </w:r>
          </w:p>
        </w:tc>
      </w:tr>
      <w:tr w14:paraId="5F807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279D3F08">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动态性</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263BAB30">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定性描述</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00985D79">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强</w:t>
            </w:r>
          </w:p>
        </w:tc>
        <w:tc>
          <w:tcPr>
            <w:tcW w:w="2357" w:type="dxa"/>
            <w:tcBorders>
              <w:top w:val="nil"/>
              <w:left w:val="nil"/>
              <w:bottom w:val="nil"/>
              <w:right w:val="nil"/>
            </w:tcBorders>
            <w:shd w:val="clear" w:color="auto" w:fill="auto"/>
            <w:noWrap w:val="0"/>
            <w:tcMar>
              <w:top w:w="100" w:type="dxa"/>
              <w:left w:w="160" w:type="dxa"/>
              <w:bottom w:w="100" w:type="dxa"/>
              <w:right w:w="-1" w:type="dxa"/>
            </w:tcMar>
            <w:vAlign w:val="center"/>
          </w:tcPr>
          <w:p w14:paraId="424340AC">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强</w:t>
            </w:r>
          </w:p>
        </w:tc>
      </w:tr>
      <w:tr w14:paraId="1E0AD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5CBC0130">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涌现现象</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264F8442">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无法捕捉</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552739BD">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有限捕捉</w:t>
            </w:r>
          </w:p>
        </w:tc>
        <w:tc>
          <w:tcPr>
            <w:tcW w:w="2357" w:type="dxa"/>
            <w:tcBorders>
              <w:top w:val="nil"/>
              <w:left w:val="nil"/>
              <w:bottom w:val="nil"/>
              <w:right w:val="nil"/>
            </w:tcBorders>
            <w:shd w:val="clear" w:color="auto" w:fill="auto"/>
            <w:noWrap w:val="0"/>
            <w:tcMar>
              <w:top w:w="100" w:type="dxa"/>
              <w:left w:w="160" w:type="dxa"/>
              <w:bottom w:w="100" w:type="dxa"/>
              <w:right w:w="-1" w:type="dxa"/>
            </w:tcMar>
            <w:vAlign w:val="center"/>
          </w:tcPr>
          <w:p w14:paraId="0D4C0329">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核心优势</w:t>
            </w:r>
          </w:p>
        </w:tc>
      </w:tr>
      <w:tr w14:paraId="7F967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3B2AA07C">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理论融合能力</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7B8D95B3">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弱</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43C97589">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中</w:t>
            </w:r>
          </w:p>
        </w:tc>
        <w:tc>
          <w:tcPr>
            <w:tcW w:w="2357" w:type="dxa"/>
            <w:tcBorders>
              <w:top w:val="nil"/>
              <w:left w:val="nil"/>
              <w:bottom w:val="nil"/>
              <w:right w:val="nil"/>
            </w:tcBorders>
            <w:shd w:val="clear" w:color="auto" w:fill="auto"/>
            <w:noWrap w:val="0"/>
            <w:tcMar>
              <w:top w:w="100" w:type="dxa"/>
              <w:left w:w="160" w:type="dxa"/>
              <w:bottom w:w="100" w:type="dxa"/>
              <w:right w:w="-1" w:type="dxa"/>
            </w:tcMar>
            <w:vAlign w:val="center"/>
          </w:tcPr>
          <w:p w14:paraId="61E097CD">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强</w:t>
            </w:r>
          </w:p>
        </w:tc>
      </w:tr>
      <w:tr w14:paraId="2FFCB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232"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3426A70C">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政策见解</w:t>
            </w:r>
          </w:p>
        </w:tc>
        <w:tc>
          <w:tcPr>
            <w:tcW w:w="1937"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21EBC9B3">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系统结构</w:t>
            </w:r>
          </w:p>
        </w:tc>
        <w:tc>
          <w:tcPr>
            <w:tcW w:w="1937"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59B9F480">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长期动态</w:t>
            </w:r>
          </w:p>
        </w:tc>
        <w:tc>
          <w:tcPr>
            <w:tcW w:w="2357"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6C52162C">
            <w:pPr>
              <w:keepNext w:val="0"/>
              <w:keepLines w:val="0"/>
              <w:widowControl/>
              <w:suppressLineNumbers w:val="0"/>
              <w:snapToGrid w:val="0"/>
              <w:spacing w:line="250" w:lineRule="atLeast"/>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微观-宏观互动</w:t>
            </w:r>
          </w:p>
        </w:tc>
      </w:tr>
    </w:tbl>
    <w:p w14:paraId="3370DB62">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这一框架为政策分析者和实践者提供了方法选择的决策支持：没有“最佳”方法，只有“最适合特定问题”的方法。</w:t>
      </w:r>
    </w:p>
    <w:p w14:paraId="11A2A134">
      <w:pPr>
        <w:pStyle w:val="4"/>
        <w:keepNext w:val="0"/>
        <w:keepLines w:val="0"/>
        <w:widowControl/>
        <w:suppressLineNumbers w:val="0"/>
        <w:shd w:val="clear" w:fill="FFFFFF"/>
        <w:spacing w:before="320" w:beforeAutospacing="0" w:after="160" w:afterAutospacing="0" w:line="300" w:lineRule="atLeast"/>
        <w:ind w:left="0" w:right="0" w:firstLine="0"/>
        <w:rPr>
          <w:rFonts w:hint="eastAsia" w:ascii="方正仿宋_GB2312" w:hAnsi="方正仿宋_GB2312" w:eastAsia="方正仿宋_GB2312" w:cs="方正仿宋_GB2312"/>
          <w:b/>
          <w:bCs/>
          <w:caps w:val="0"/>
          <w:color w:val="0F1115"/>
          <w:spacing w:val="0"/>
          <w:sz w:val="24"/>
          <w:szCs w:val="24"/>
        </w:rPr>
      </w:pPr>
      <w:r>
        <w:rPr>
          <w:rFonts w:hint="eastAsia" w:ascii="方正仿宋_GB2312" w:hAnsi="方正仿宋_GB2312" w:eastAsia="方正仿宋_GB2312" w:cs="方正仿宋_GB2312"/>
          <w:b/>
          <w:bCs/>
          <w:caps w:val="0"/>
          <w:color w:val="0F1115"/>
          <w:spacing w:val="0"/>
          <w:sz w:val="24"/>
          <w:szCs w:val="24"/>
          <w:shd w:val="clear" w:fill="FFFFFF"/>
        </w:rPr>
        <w:t>5.2 混合方法的前景</w:t>
      </w:r>
    </w:p>
    <w:p w14:paraId="5D889F28">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研究的另一个启示是</w:t>
      </w: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混合建模方法</w:t>
      </w:r>
      <w:r>
        <w:rPr>
          <w:rFonts w:hint="eastAsia" w:ascii="方正仿宋_GB2312" w:hAnsi="方正仿宋_GB2312" w:eastAsia="方正仿宋_GB2312" w:cs="方正仿宋_GB2312"/>
          <w:i w:val="0"/>
          <w:iCs w:val="0"/>
          <w:caps w:val="0"/>
          <w:color w:val="0F1115"/>
          <w:spacing w:val="0"/>
          <w:sz w:val="24"/>
          <w:szCs w:val="24"/>
          <w:shd w:val="clear" w:fill="FFFFFF"/>
        </w:rPr>
        <w:t>的潜力。STM可用于构建初始系统地图，识别关键变量和反馈结构；这些洞见可为SDM和ABM提供概念基础。SDM可用于模拟宏观层面的资源积累和延迟效应，其输出可作为ABM的环境条件；ABM则可模拟微观层面的异质性响应，其聚合结果可反馈至SDM校准。</w:t>
      </w:r>
    </w:p>
    <w:p w14:paraId="1152D726">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Zhang等人在《Journal of Cleaner Production》发表的SD-ABM耦合模拟框架，用于分析城市生态治理中政策工具如何影响多元主体的参与意愿，正是这一方向的代表性探索</w: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instrText xml:space="preserve"> HYPERLINK "https://ouci.dntb.gov.ua/en/works/4gG8mqL4/" \t "https://chat.deepseek.com/a/chat/s/_blank" </w:instrTex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end"/>
      </w:r>
      <w:r>
        <w:rPr>
          <w:rFonts w:hint="eastAsia" w:ascii="方正仿宋_GB2312" w:hAnsi="方正仿宋_GB2312" w:eastAsia="方正仿宋_GB2312" w:cs="方正仿宋_GB2312"/>
          <w:i w:val="0"/>
          <w:iCs w:val="0"/>
          <w:caps w:val="0"/>
          <w:color w:val="0F1115"/>
          <w:spacing w:val="0"/>
          <w:sz w:val="24"/>
          <w:szCs w:val="24"/>
          <w:shd w:val="clear" w:fill="FFFFFF"/>
        </w:rPr>
        <w:t>。</w:t>
      </w:r>
    </w:p>
    <w:p w14:paraId="0BB83AEA">
      <w:pPr>
        <w:pStyle w:val="4"/>
        <w:keepNext w:val="0"/>
        <w:keepLines w:val="0"/>
        <w:widowControl/>
        <w:suppressLineNumbers w:val="0"/>
        <w:shd w:val="clear" w:fill="FFFFFF"/>
        <w:spacing w:before="320" w:beforeAutospacing="0" w:after="160" w:afterAutospacing="0" w:line="300" w:lineRule="atLeast"/>
        <w:ind w:left="0" w:right="0" w:firstLine="0"/>
        <w:rPr>
          <w:rFonts w:hint="eastAsia" w:ascii="方正仿宋_GB2312" w:hAnsi="方正仿宋_GB2312" w:eastAsia="方正仿宋_GB2312" w:cs="方正仿宋_GB2312"/>
          <w:b/>
          <w:bCs/>
          <w:caps w:val="0"/>
          <w:color w:val="0F1115"/>
          <w:spacing w:val="0"/>
          <w:sz w:val="24"/>
          <w:szCs w:val="24"/>
        </w:rPr>
      </w:pPr>
      <w:r>
        <w:rPr>
          <w:rFonts w:hint="eastAsia" w:ascii="方正仿宋_GB2312" w:hAnsi="方正仿宋_GB2312" w:eastAsia="方正仿宋_GB2312" w:cs="方正仿宋_GB2312"/>
          <w:b/>
          <w:bCs/>
          <w:caps w:val="0"/>
          <w:color w:val="0F1115"/>
          <w:spacing w:val="0"/>
          <w:sz w:val="24"/>
          <w:szCs w:val="24"/>
          <w:shd w:val="clear" w:fill="FFFFFF"/>
        </w:rPr>
        <w:t>5.3 对公共管理的启示</w:t>
      </w:r>
    </w:p>
    <w:p w14:paraId="432F84F1">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从公共管理视角，本研究具有多重启示：</w:t>
      </w:r>
    </w:p>
    <w:p w14:paraId="32464459">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b w:val="0"/>
          <w:bCs w:val="0"/>
          <w:i w:val="0"/>
          <w:iCs w:val="0"/>
          <w:caps w:val="0"/>
          <w:color w:val="0F1115"/>
          <w:spacing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超越“黑箱”政策评估</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：传统政策评估往往关注“政策输入-结果输出”的关联，而对中间的“行为转化机制”缺乏关注。心理学模型的融入使这一“黑箱”透明化，揭示了态度、规范、情感等中介变量的作用路径。</w:t>
      </w:r>
    </w:p>
    <w:p w14:paraId="581AF97E">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b w:val="0"/>
          <w:bCs w:val="0"/>
          <w:i w:val="0"/>
          <w:iCs w:val="0"/>
          <w:caps w:val="0"/>
          <w:color w:val="0F1115"/>
          <w:spacing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重视政策的意外后果</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：海绵城市案例中识别出的绿色绅士化风险表明，即使是环保导向的政策也可能产生负面的社会后果。建模方法有助于在政策实施前预见这些意外效应。</w:t>
      </w:r>
    </w:p>
    <w:p w14:paraId="2F5ACCD2">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精细化政策设计</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：T</w:t>
      </w:r>
      <w:r>
        <w:rPr>
          <w:rFonts w:hint="eastAsia" w:ascii="方正仿宋_GB2312" w:hAnsi="方正仿宋_GB2312" w:eastAsia="方正仿宋_GB2312" w:cs="方正仿宋_GB2312"/>
          <w:i w:val="0"/>
          <w:iCs w:val="0"/>
          <w:caps w:val="0"/>
          <w:color w:val="0F1115"/>
          <w:spacing w:val="0"/>
          <w:sz w:val="24"/>
          <w:szCs w:val="24"/>
          <w:shd w:val="clear" w:fill="FFFFFF"/>
        </w:rPr>
        <w:t>PB-ABM揭示的态度-规范-控制结构提示政策制定者需从多维度设计干预——信息宣传作用于态度，社会示范作用于规范，能力建设作用于知觉控制。异质性分析进一步提示，不同群体可能需要差异化的政策组合。</w:t>
      </w:r>
    </w:p>
    <w:p w14:paraId="284CAC57">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动态政策调适</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w:t>
      </w:r>
      <w:r>
        <w:rPr>
          <w:rFonts w:hint="eastAsia" w:ascii="方正仿宋_GB2312" w:hAnsi="方正仿宋_GB2312" w:eastAsia="方正仿宋_GB2312" w:cs="方正仿宋_GB2312"/>
          <w:i w:val="0"/>
          <w:iCs w:val="0"/>
          <w:caps w:val="0"/>
          <w:color w:val="0F1115"/>
          <w:spacing w:val="0"/>
          <w:sz w:val="24"/>
          <w:szCs w:val="24"/>
          <w:shd w:val="clear" w:fill="FFFFFF"/>
        </w:rPr>
        <w:t>邻避效应模拟显示，政府信息的介入时机对公众态度演化具有关键影响——早期介入能有效提升整体接受度</w: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instrText xml:space="preserve"> HYPERLINK "https://library.nih.go.kr/ncmiklib/search/Retrieve.do?dbid=edselp&amp;an=S0195925525000393&amp;highlight=AND&amp;edsCnt=1552&amp;kwd=" \t "https://chat.deepseek.com/a/chat/s/_blank" </w:instrTex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end"/>
      </w:r>
      <w:r>
        <w:rPr>
          <w:rFonts w:hint="eastAsia" w:ascii="方正仿宋_GB2312" w:hAnsi="方正仿宋_GB2312" w:eastAsia="方正仿宋_GB2312" w:cs="方正仿宋_GB2312"/>
          <w:i w:val="0"/>
          <w:iCs w:val="0"/>
          <w:caps w:val="0"/>
          <w:color w:val="0F1115"/>
          <w:spacing w:val="0"/>
          <w:sz w:val="24"/>
          <w:szCs w:val="24"/>
          <w:shd w:val="clear" w:fill="FFFFFF"/>
        </w:rPr>
        <w:t>。这提示政策沟通需要把握窗口期。</w:t>
      </w:r>
    </w:p>
    <w:p w14:paraId="30986F6B">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eastAsia" w:ascii="方正仿宋_GB2312" w:hAnsi="方正仿宋_GB2312" w:eastAsia="方正仿宋_GB2312" w:cs="方正仿宋_GB2312"/>
          <w:b/>
          <w:bCs/>
          <w:caps w:val="0"/>
          <w:color w:val="0F1115"/>
          <w:spacing w:val="0"/>
          <w:sz w:val="24"/>
          <w:szCs w:val="24"/>
        </w:rPr>
      </w:pPr>
      <w:r>
        <w:rPr>
          <w:rFonts w:hint="eastAsia" w:ascii="方正仿宋_GB2312" w:hAnsi="方正仿宋_GB2312" w:eastAsia="方正仿宋_GB2312" w:cs="方正仿宋_GB2312"/>
          <w:b/>
          <w:bCs/>
          <w:caps w:val="0"/>
          <w:color w:val="0F1115"/>
          <w:spacing w:val="0"/>
          <w:sz w:val="24"/>
          <w:szCs w:val="24"/>
          <w:shd w:val="clear" w:fill="FFFFFF"/>
        </w:rPr>
        <w:t>六、结论与展望</w:t>
      </w:r>
    </w:p>
    <w:p w14:paraId="34634A87">
      <w:pPr>
        <w:pStyle w:val="4"/>
        <w:keepNext w:val="0"/>
        <w:keepLines w:val="0"/>
        <w:widowControl/>
        <w:suppressLineNumbers w:val="0"/>
        <w:shd w:val="clear" w:fill="FFFFFF"/>
        <w:spacing w:before="320" w:beforeAutospacing="0" w:after="160" w:afterAutospacing="0" w:line="300" w:lineRule="atLeast"/>
        <w:ind w:left="0" w:right="0" w:firstLine="0"/>
        <w:rPr>
          <w:rFonts w:hint="eastAsia" w:ascii="方正仿宋_GB2312" w:hAnsi="方正仿宋_GB2312" w:eastAsia="方正仿宋_GB2312" w:cs="方正仿宋_GB2312"/>
          <w:b/>
          <w:bCs/>
          <w:caps w:val="0"/>
          <w:color w:val="0F1115"/>
          <w:spacing w:val="0"/>
          <w:sz w:val="24"/>
          <w:szCs w:val="24"/>
        </w:rPr>
      </w:pPr>
      <w:r>
        <w:rPr>
          <w:rFonts w:hint="eastAsia" w:ascii="方正仿宋_GB2312" w:hAnsi="方正仿宋_GB2312" w:eastAsia="方正仿宋_GB2312" w:cs="方正仿宋_GB2312"/>
          <w:b/>
          <w:bCs/>
          <w:caps w:val="0"/>
          <w:color w:val="0F1115"/>
          <w:spacing w:val="0"/>
          <w:sz w:val="24"/>
          <w:szCs w:val="24"/>
          <w:shd w:val="clear" w:fill="FFFFFF"/>
        </w:rPr>
        <w:t>6.1 研究贡献</w:t>
      </w:r>
    </w:p>
    <w:p w14:paraId="2A8571FB">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b w:val="0"/>
          <w:bCs w:val="0"/>
          <w:i w:val="0"/>
          <w:iCs w:val="0"/>
          <w:caps w:val="0"/>
          <w:color w:val="0F1115"/>
          <w:spacing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方法论贡献</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：通过统一的案例比较，系统揭示了STM、SDM和ABM三种建模方法在社会行为概念化、政策评估适用性方面的差异与互补性，为方法选择提供了理论框架。</w:t>
      </w:r>
    </w:p>
    <w:p w14:paraId="09D51D52">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b w:val="0"/>
          <w:bCs w:val="0"/>
          <w:i w:val="0"/>
          <w:iCs w:val="0"/>
          <w:caps w:val="0"/>
          <w:color w:val="0F1115"/>
          <w:spacing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实践贡献</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：通过海绵城市案例，展示了建模方法如何识别政策的意外后果（如绿色绅士化），以及如何比较不同政策工具的预期效果。</w:t>
      </w:r>
    </w:p>
    <w:p w14:paraId="54857F89">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理论贡献</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w:t>
      </w:r>
      <w:r>
        <w:rPr>
          <w:rFonts w:hint="eastAsia" w:ascii="方正仿宋_GB2312" w:hAnsi="方正仿宋_GB2312" w:eastAsia="方正仿宋_GB2312" w:cs="方正仿宋_GB2312"/>
          <w:i w:val="0"/>
          <w:iCs w:val="0"/>
          <w:caps w:val="0"/>
          <w:color w:val="0F1115"/>
          <w:spacing w:val="0"/>
          <w:sz w:val="24"/>
          <w:szCs w:val="24"/>
          <w:shd w:val="clear" w:fill="FFFFFF"/>
        </w:rPr>
        <w:t>研究推动了对“政策如何影响社会行为进而影响系统动态”这一核心问题的理论理解，为可持续转型研究提供了方法论基础。</w:t>
      </w:r>
    </w:p>
    <w:p w14:paraId="3E918B9F">
      <w:pPr>
        <w:pStyle w:val="4"/>
        <w:keepNext w:val="0"/>
        <w:keepLines w:val="0"/>
        <w:widowControl/>
        <w:suppressLineNumbers w:val="0"/>
        <w:shd w:val="clear" w:fill="FFFFFF"/>
        <w:spacing w:before="320" w:beforeAutospacing="0" w:after="160" w:afterAutospacing="0" w:line="300" w:lineRule="atLeast"/>
        <w:ind w:left="0" w:right="0" w:firstLine="0"/>
        <w:rPr>
          <w:rFonts w:hint="eastAsia" w:ascii="方正仿宋_GB2312" w:hAnsi="方正仿宋_GB2312" w:eastAsia="方正仿宋_GB2312" w:cs="方正仿宋_GB2312"/>
          <w:b/>
          <w:bCs/>
          <w:caps w:val="0"/>
          <w:color w:val="0F1115"/>
          <w:spacing w:val="0"/>
          <w:sz w:val="24"/>
          <w:szCs w:val="24"/>
        </w:rPr>
      </w:pPr>
      <w:r>
        <w:rPr>
          <w:rFonts w:hint="eastAsia" w:ascii="方正仿宋_GB2312" w:hAnsi="方正仿宋_GB2312" w:eastAsia="方正仿宋_GB2312" w:cs="方正仿宋_GB2312"/>
          <w:b/>
          <w:bCs/>
          <w:caps w:val="0"/>
          <w:color w:val="0F1115"/>
          <w:spacing w:val="0"/>
          <w:sz w:val="24"/>
          <w:szCs w:val="24"/>
          <w:shd w:val="clear" w:fill="FFFFFF"/>
        </w:rPr>
        <w:t>6.2 心理学模型融合的贡献与局限</w:t>
      </w:r>
    </w:p>
    <w:p w14:paraId="56028086">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心理学与管理学模型的融合应用为智能体建模带来了理论深度，但也面临若干挑战：</w:t>
      </w:r>
    </w:p>
    <w:p w14:paraId="1212EDF5">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sz w:val="24"/>
          <w:szCs w:val="24"/>
        </w:rPr>
      </w:pPr>
      <w:r>
        <w:rPr>
          <w:rStyle w:val="8"/>
          <w:rFonts w:hint="eastAsia" w:ascii="方正仿宋_GB2312" w:hAnsi="方正仿宋_GB2312" w:eastAsia="方正仿宋_GB2312" w:cs="方正仿宋_GB2312"/>
          <w:b/>
          <w:bCs/>
          <w:i w:val="0"/>
          <w:iCs w:val="0"/>
          <w:caps w:val="0"/>
          <w:color w:val="0F1115"/>
          <w:spacing w:val="0"/>
          <w:sz w:val="24"/>
          <w:szCs w:val="24"/>
          <w:shd w:val="clear" w:fill="FFFFFF"/>
        </w:rPr>
        <w:t>贡献</w:t>
      </w:r>
      <w:r>
        <w:rPr>
          <w:rFonts w:hint="eastAsia" w:ascii="方正仿宋_GB2312" w:hAnsi="方正仿宋_GB2312" w:eastAsia="方正仿宋_GB2312" w:cs="方正仿宋_GB2312"/>
          <w:i w:val="0"/>
          <w:iCs w:val="0"/>
          <w:caps w:val="0"/>
          <w:color w:val="0F1115"/>
          <w:spacing w:val="0"/>
          <w:sz w:val="24"/>
          <w:szCs w:val="24"/>
          <w:shd w:val="clear" w:fill="FFFFFF"/>
        </w:rPr>
        <w:t>：</w:t>
      </w:r>
    </w:p>
    <w:p w14:paraId="56A2AE4D">
      <w:pPr>
        <w:pStyle w:val="5"/>
        <w:keepNext w:val="0"/>
        <w:keepLines w:val="0"/>
        <w:widowControl/>
        <w:suppressLineNumbers w:val="0"/>
        <w:spacing w:before="0" w:beforeAutospacing="0" w:after="0" w:afterAutospacing="0"/>
        <w:ind w:left="0" w:right="0"/>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提供了可操作的行为理论构念，避免“黑箱”式的行为假设</w:t>
      </w:r>
    </w:p>
    <w:p w14:paraId="453C7CE8">
      <w:pPr>
        <w:pStyle w:val="5"/>
        <w:keepNext w:val="0"/>
        <w:keepLines w:val="0"/>
        <w:widowControl/>
        <w:suppressLineNumbers w:val="0"/>
        <w:spacing w:before="0" w:beforeAutospacing="0" w:after="0" w:afterAutospacing="0"/>
        <w:ind w:left="0" w:right="0"/>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揭示了态度-规范-控制、人格特质、情感状态等中介变量的作用机制</w:t>
      </w:r>
    </w:p>
    <w:p w14:paraId="3F8BDED6">
      <w:pPr>
        <w:pStyle w:val="5"/>
        <w:keepNext w:val="0"/>
        <w:keepLines w:val="0"/>
        <w:widowControl/>
        <w:suppressLineNumbers w:val="0"/>
        <w:spacing w:before="0" w:beforeAutospacing="0" w:after="0" w:afterAutospacing="0"/>
        <w:ind w:left="0" w:right="0"/>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增强了模型结果的可解释性和理论可追溯性</w:t>
      </w:r>
    </w:p>
    <w:p w14:paraId="3B96B27A">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sz w:val="24"/>
          <w:szCs w:val="24"/>
        </w:rPr>
      </w:pPr>
      <w:r>
        <w:rPr>
          <w:rStyle w:val="8"/>
          <w:rFonts w:hint="eastAsia" w:ascii="方正仿宋_GB2312" w:hAnsi="方正仿宋_GB2312" w:eastAsia="方正仿宋_GB2312" w:cs="方正仿宋_GB2312"/>
          <w:b/>
          <w:bCs/>
          <w:i w:val="0"/>
          <w:iCs w:val="0"/>
          <w:caps w:val="0"/>
          <w:color w:val="0F1115"/>
          <w:spacing w:val="0"/>
          <w:sz w:val="24"/>
          <w:szCs w:val="24"/>
          <w:shd w:val="clear" w:fill="FFFFFF"/>
        </w:rPr>
        <w:t>局限</w:t>
      </w:r>
      <w:r>
        <w:rPr>
          <w:rFonts w:hint="eastAsia" w:ascii="方正仿宋_GB2312" w:hAnsi="方正仿宋_GB2312" w:eastAsia="方正仿宋_GB2312" w:cs="方正仿宋_GB2312"/>
          <w:i w:val="0"/>
          <w:iCs w:val="0"/>
          <w:caps w:val="0"/>
          <w:color w:val="0F1115"/>
          <w:spacing w:val="0"/>
          <w:sz w:val="24"/>
          <w:szCs w:val="24"/>
          <w:shd w:val="clear" w:fill="FFFFFF"/>
        </w:rPr>
        <w:t>：</w:t>
      </w:r>
    </w:p>
    <w:p w14:paraId="7C55FB68">
      <w:pPr>
        <w:pStyle w:val="5"/>
        <w:keepNext w:val="0"/>
        <w:keepLines w:val="0"/>
        <w:widowControl/>
        <w:suppressLineNumbers w:val="0"/>
        <w:spacing w:before="0" w:beforeAutospacing="0" w:after="0" w:afterAutospacing="0"/>
        <w:ind w:left="0" w:right="0"/>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理论的静态性质与ABM需要的动态决策规则之间存在张力</w: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instrText xml:space="preserve"> HYPERLINK "https://www.sciencedirect.com/science/article/abs/pii/S0304380025002170" \t "https://chat.deepseek.com/a/chat/s/_blank" </w:instrTex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end"/>
      </w:r>
    </w:p>
    <w:p w14:paraId="08151046">
      <w:pPr>
        <w:pStyle w:val="5"/>
        <w:keepNext w:val="0"/>
        <w:keepLines w:val="0"/>
        <w:widowControl/>
        <w:suppressLineNumbers w:val="0"/>
        <w:spacing w:before="0" w:beforeAutospacing="0" w:after="0" w:afterAutospacing="0"/>
        <w:ind w:left="0" w:right="0"/>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构念的数学化表达缺乏统一规范，导致模型间的可比性不足</w:t>
      </w:r>
    </w:p>
    <w:p w14:paraId="3B839CBC">
      <w:pPr>
        <w:pStyle w:val="5"/>
        <w:keepNext w:val="0"/>
        <w:keepLines w:val="0"/>
        <w:widowControl/>
        <w:suppressLineNumbers w:val="0"/>
        <w:spacing w:before="0" w:beforeAutospacing="0" w:after="0" w:afterAutospacing="0"/>
        <w:ind w:left="0" w:right="0"/>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理论与数据的对接存在方法鸿沟，仅有少数研究严格遵循理论的测量规范</w: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instrText xml:space="preserve"> HYPERLINK "https://www.sciencedirect.com/science/article/abs/pii/S0304380025002170" \t "https://chat.deepseek.com/a/chat/s/_blank" </w:instrTex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end"/>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instrText xml:space="preserve"> HYPERLINK "https://ideas.repec.org/a/eee/ecomod/v508y2025ics0304380025002170.html" \t "https://chat.deepseek.com/a/chat/s/_blank" </w:instrTex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end"/>
      </w:r>
    </w:p>
    <w:p w14:paraId="05A8FD3B">
      <w:pPr>
        <w:pStyle w:val="4"/>
        <w:keepNext w:val="0"/>
        <w:keepLines w:val="0"/>
        <w:widowControl/>
        <w:suppressLineNumbers w:val="0"/>
        <w:shd w:val="clear" w:fill="FFFFFF"/>
        <w:spacing w:before="320" w:beforeAutospacing="0" w:after="160" w:afterAutospacing="0" w:line="300" w:lineRule="atLeast"/>
        <w:ind w:left="0" w:right="0" w:firstLine="0"/>
        <w:rPr>
          <w:rFonts w:hint="eastAsia" w:ascii="方正仿宋_GB2312" w:hAnsi="方正仿宋_GB2312" w:eastAsia="方正仿宋_GB2312" w:cs="方正仿宋_GB2312"/>
          <w:b/>
          <w:bCs/>
          <w:caps w:val="0"/>
          <w:color w:val="0F1115"/>
          <w:spacing w:val="0"/>
          <w:sz w:val="24"/>
          <w:szCs w:val="24"/>
        </w:rPr>
      </w:pPr>
      <w:r>
        <w:rPr>
          <w:rFonts w:hint="eastAsia" w:ascii="方正仿宋_GB2312" w:hAnsi="方正仿宋_GB2312" w:eastAsia="方正仿宋_GB2312" w:cs="方正仿宋_GB2312"/>
          <w:b/>
          <w:bCs/>
          <w:caps w:val="0"/>
          <w:color w:val="0F1115"/>
          <w:spacing w:val="0"/>
          <w:sz w:val="24"/>
          <w:szCs w:val="24"/>
          <w:shd w:val="clear" w:fill="FFFFFF"/>
        </w:rPr>
        <w:t>6.3 未来方向</w:t>
      </w:r>
    </w:p>
    <w:p w14:paraId="084D2F6F">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b w:val="0"/>
          <w:bCs w:val="0"/>
          <w:i w:val="0"/>
          <w:iCs w:val="0"/>
          <w:caps w:val="0"/>
          <w:color w:val="0F1115"/>
          <w:spacing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标准化构建模块的开发</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：Taraghi与Yoder呼吁发展可复用的TPB构建模块，建立社区标准，以增强模型的一致性和可复现性</w:t>
      </w:r>
      <w:r>
        <w:rPr>
          <w:rFonts w:hint="eastAsia" w:ascii="方正仿宋_GB2312" w:hAnsi="方正仿宋_GB2312" w:eastAsia="方正仿宋_GB2312" w:cs="方正仿宋_GB2312"/>
          <w:b w:val="0"/>
          <w:bCs w:val="0"/>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b w:val="0"/>
          <w:bCs w:val="0"/>
          <w:i w:val="0"/>
          <w:iCs w:val="0"/>
          <w:caps w:val="0"/>
          <w:color w:val="3964FE"/>
          <w:spacing w:val="0"/>
          <w:sz w:val="24"/>
          <w:szCs w:val="24"/>
          <w:u w:val="none"/>
          <w:bdr w:val="single" w:color="auto" w:sz="12" w:space="0"/>
          <w:shd w:val="clear" w:fill="FFFFFF"/>
        </w:rPr>
        <w:instrText xml:space="preserve"> HYPERLINK "https://www.sciencedirect.com/science/article/abs/pii/S0304380025002170" \t "https://chat.deepseek.com/a/chat/s/_blank" </w:instrText>
      </w:r>
      <w:r>
        <w:rPr>
          <w:rFonts w:hint="eastAsia" w:ascii="方正仿宋_GB2312" w:hAnsi="方正仿宋_GB2312" w:eastAsia="方正仿宋_GB2312" w:cs="方正仿宋_GB2312"/>
          <w:b w:val="0"/>
          <w:bCs w:val="0"/>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b w:val="0"/>
          <w:bCs w:val="0"/>
          <w:i w:val="0"/>
          <w:iCs w:val="0"/>
          <w:caps w:val="0"/>
          <w:color w:val="3964FE"/>
          <w:spacing w:val="0"/>
          <w:sz w:val="24"/>
          <w:szCs w:val="24"/>
          <w:u w:val="none"/>
          <w:bdr w:val="single" w:color="auto" w:sz="12" w:space="0"/>
          <w:shd w:val="clear" w:fill="FFFFFF"/>
        </w:rPr>
        <w:fldChar w:fldCharType="end"/>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w:t>
      </w:r>
    </w:p>
    <w:p w14:paraId="181A6508">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b w:val="0"/>
          <w:bCs w:val="0"/>
          <w:i w:val="0"/>
          <w:iCs w:val="0"/>
          <w:caps w:val="0"/>
          <w:color w:val="0F1115"/>
          <w:spacing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理论-数据-模型的深度整合</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：需要发展更系统的框架，将理论驱动的调查设计、实证数据校准与模型验证有机结合。</w:t>
      </w:r>
    </w:p>
    <w:p w14:paraId="3B7B622D">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b w:val="0"/>
          <w:bCs w:val="0"/>
          <w:i w:val="0"/>
          <w:iCs w:val="0"/>
          <w:caps w:val="0"/>
          <w:color w:val="0F1115"/>
          <w:spacing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内省建模的深化</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：Hu等人的“内部议会”架构代表了一种前沿方向——将心理学理论更深入地融入智能体设计，使模拟不仅复现行为结果，更能复现行为背后的内在心理过程</w:t>
      </w:r>
      <w:r>
        <w:rPr>
          <w:rFonts w:hint="eastAsia" w:ascii="方正仿宋_GB2312" w:hAnsi="方正仿宋_GB2312" w:eastAsia="方正仿宋_GB2312" w:cs="方正仿宋_GB2312"/>
          <w:b w:val="0"/>
          <w:bCs w:val="0"/>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b w:val="0"/>
          <w:bCs w:val="0"/>
          <w:i w:val="0"/>
          <w:iCs w:val="0"/>
          <w:caps w:val="0"/>
          <w:color w:val="3964FE"/>
          <w:spacing w:val="0"/>
          <w:sz w:val="24"/>
          <w:szCs w:val="24"/>
          <w:u w:val="none"/>
          <w:bdr w:val="single" w:color="auto" w:sz="12" w:space="0"/>
          <w:shd w:val="clear" w:fill="FFFFFF"/>
        </w:rPr>
        <w:instrText xml:space="preserve"> HYPERLINK "https://ar5iv.labs.arxiv.org/html/2511.02606" \t "https://chat.deepseek.com/a/chat/s/_blank" </w:instrText>
      </w:r>
      <w:r>
        <w:rPr>
          <w:rFonts w:hint="eastAsia" w:ascii="方正仿宋_GB2312" w:hAnsi="方正仿宋_GB2312" w:eastAsia="方正仿宋_GB2312" w:cs="方正仿宋_GB2312"/>
          <w:b w:val="0"/>
          <w:bCs w:val="0"/>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b w:val="0"/>
          <w:bCs w:val="0"/>
          <w:i w:val="0"/>
          <w:iCs w:val="0"/>
          <w:caps w:val="0"/>
          <w:color w:val="3964FE"/>
          <w:spacing w:val="0"/>
          <w:sz w:val="24"/>
          <w:szCs w:val="24"/>
          <w:u w:val="none"/>
          <w:bdr w:val="single" w:color="auto" w:sz="12" w:space="0"/>
          <w:shd w:val="clear" w:fill="FFFFFF"/>
        </w:rPr>
        <w:fldChar w:fldCharType="end"/>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w:t>
      </w:r>
    </w:p>
    <w:p w14:paraId="75317A2F">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Style w:val="8"/>
          <w:rFonts w:hint="eastAsia" w:ascii="方正仿宋_GB2312" w:hAnsi="方正仿宋_GB2312" w:eastAsia="方正仿宋_GB2312" w:cs="方正仿宋_GB2312"/>
          <w:b w:val="0"/>
          <w:bCs w:val="0"/>
          <w:i w:val="0"/>
          <w:iCs w:val="0"/>
          <w:caps w:val="0"/>
          <w:color w:val="0F1115"/>
          <w:spacing w:val="0"/>
          <w:sz w:val="24"/>
          <w:szCs w:val="24"/>
          <w:shd w:val="clear" w:fill="FFFFFF"/>
        </w:rPr>
        <w:t>情感与理性的整合</w:t>
      </w:r>
      <w:r>
        <w:rPr>
          <w:rFonts w:hint="eastAsia" w:ascii="方正仿宋_GB2312" w:hAnsi="方正仿宋_GB2312" w:eastAsia="方正仿宋_GB2312" w:cs="方正仿宋_GB2312"/>
          <w:b w:val="0"/>
          <w:bCs w:val="0"/>
          <w:i w:val="0"/>
          <w:iCs w:val="0"/>
          <w:caps w:val="0"/>
          <w:color w:val="0F1115"/>
          <w:spacing w:val="0"/>
          <w:sz w:val="24"/>
          <w:szCs w:val="24"/>
          <w:shd w:val="clear" w:fill="FFFFFF"/>
        </w:rPr>
        <w:t>：AC</w:t>
      </w:r>
      <w:r>
        <w:rPr>
          <w:rFonts w:hint="eastAsia" w:ascii="方正仿宋_GB2312" w:hAnsi="方正仿宋_GB2312" w:eastAsia="方正仿宋_GB2312" w:cs="方正仿宋_GB2312"/>
          <w:i w:val="0"/>
          <w:iCs w:val="0"/>
          <w:caps w:val="0"/>
          <w:color w:val="0F1115"/>
          <w:spacing w:val="0"/>
          <w:sz w:val="24"/>
          <w:szCs w:val="24"/>
          <w:shd w:val="clear" w:fill="FFFFFF"/>
        </w:rPr>
        <w:t>T与BDI-TPB的整合代表了另一个前沿——将情感维度纳入决策建模，使智能体不仅“理性决策”，而且“感性响应”</w: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instrText xml:space="preserve"> HYPERLINK "https://pure.psu.edu/en/publications/advancing-affective-intelligence-in-virtual-agents-using-affect-c/" \t "https://chat.deepseek.com/a/chat/s/_blank" </w:instrTex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end"/>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begin"/>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instrText xml:space="preserve"> HYPERLINK "https://ar5iv.labs.arxiv.org/html/2004.11858" \t "https://chat.deepseek.com/a/chat/s/_blank" </w:instrText>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separate"/>
      </w:r>
      <w:r>
        <w:rPr>
          <w:rFonts w:hint="eastAsia" w:ascii="方正仿宋_GB2312" w:hAnsi="方正仿宋_GB2312" w:eastAsia="方正仿宋_GB2312" w:cs="方正仿宋_GB2312"/>
          <w:i w:val="0"/>
          <w:iCs w:val="0"/>
          <w:caps w:val="0"/>
          <w:color w:val="3964FE"/>
          <w:spacing w:val="0"/>
          <w:sz w:val="24"/>
          <w:szCs w:val="24"/>
          <w:u w:val="none"/>
          <w:bdr w:val="single" w:color="auto" w:sz="12" w:space="0"/>
          <w:shd w:val="clear" w:fill="FFFFFF"/>
        </w:rPr>
        <w:fldChar w:fldCharType="end"/>
      </w:r>
      <w:r>
        <w:rPr>
          <w:rFonts w:hint="eastAsia" w:ascii="方正仿宋_GB2312" w:hAnsi="方正仿宋_GB2312" w:eastAsia="方正仿宋_GB2312" w:cs="方正仿宋_GB2312"/>
          <w:i w:val="0"/>
          <w:iCs w:val="0"/>
          <w:caps w:val="0"/>
          <w:color w:val="0F1115"/>
          <w:spacing w:val="0"/>
          <w:sz w:val="24"/>
          <w:szCs w:val="24"/>
          <w:shd w:val="clear" w:fill="FFFFFF"/>
        </w:rPr>
        <w:t>。</w:t>
      </w:r>
    </w:p>
    <w:p w14:paraId="041F0701">
      <w:pPr>
        <w:pStyle w:val="4"/>
        <w:keepNext w:val="0"/>
        <w:keepLines w:val="0"/>
        <w:widowControl/>
        <w:suppressLineNumbers w:val="0"/>
        <w:shd w:val="clear" w:fill="FFFFFF"/>
        <w:spacing w:before="320" w:beforeAutospacing="0" w:after="160" w:afterAutospacing="0" w:line="300" w:lineRule="atLeast"/>
        <w:ind w:left="0" w:right="0" w:firstLine="0"/>
        <w:rPr>
          <w:rFonts w:hint="eastAsia" w:ascii="方正仿宋_GB2312" w:hAnsi="方正仿宋_GB2312" w:eastAsia="方正仿宋_GB2312" w:cs="方正仿宋_GB2312"/>
          <w:b/>
          <w:bCs/>
          <w:caps w:val="0"/>
          <w:color w:val="0F1115"/>
          <w:spacing w:val="0"/>
          <w:sz w:val="24"/>
          <w:szCs w:val="24"/>
        </w:rPr>
      </w:pPr>
      <w:r>
        <w:rPr>
          <w:rFonts w:hint="eastAsia" w:ascii="方正仿宋_GB2312" w:hAnsi="方正仿宋_GB2312" w:eastAsia="方正仿宋_GB2312" w:cs="方正仿宋_GB2312"/>
          <w:b/>
          <w:bCs/>
          <w:caps w:val="0"/>
          <w:color w:val="0F1115"/>
          <w:spacing w:val="0"/>
          <w:sz w:val="24"/>
          <w:szCs w:val="24"/>
          <w:shd w:val="clear" w:fill="FFFFFF"/>
        </w:rPr>
        <w:t>6.4 结语</w:t>
      </w:r>
    </w:p>
    <w:p w14:paraId="00C87ACC">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i w:val="0"/>
          <w:iCs w:val="0"/>
          <w:caps w:val="0"/>
          <w:color w:val="0F1115"/>
          <w:spacing w:val="0"/>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在复杂社会挑战日益凸显的今天，政策制定者需要更强大的工具来理解社会系统动态、预见政策后果、设计有效干预。Schünemann等人的研究表明，STM、SDM和ABM等系统建模方法不是相互替代的竞争性技术，而是互补的工具箱。而心理学与管理学模型的融合应用，则为这一工具箱注入了理论深度——使智能体不仅是“行为的模拟者”，更是“心理的建模者”。</w:t>
      </w:r>
    </w:p>
    <w:p w14:paraId="027C788C">
      <w:pPr>
        <w:pStyle w:val="5"/>
        <w:keepNext w:val="0"/>
        <w:keepLines w:val="0"/>
        <w:widowControl/>
        <w:suppressLineNumbers w:val="0"/>
        <w:shd w:val="clear" w:fill="FFFFFF"/>
        <w:spacing w:before="160" w:beforeAutospacing="0" w:after="160" w:afterAutospacing="0"/>
        <w:ind w:left="0" w:right="0" w:firstLine="0"/>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i w:val="0"/>
          <w:iCs w:val="0"/>
          <w:caps w:val="0"/>
          <w:color w:val="0F1115"/>
          <w:spacing w:val="0"/>
          <w:sz w:val="24"/>
          <w:szCs w:val="24"/>
          <w:shd w:val="clear" w:fill="FFFFFF"/>
        </w:rPr>
        <w:t>正如研究所揭示的，海绵城市建设不仅是工程技术问题，更是社会-技术系统转型问题。只有将物理系统与社会行为、宏观政策与微观响应、短期效果与长期动态纳入统一的分析框架，我们才能真正理解可持续转型的复杂动态，设计出既有效又公平、既高效又韧性的公共政策。</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embedRegular r:id="rId1" w:fontKey="{CB614DFF-AB46-4D4C-B1CA-142A2AE4DBA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FDA0B15"/>
    <w:rsid w:val="423B2969"/>
    <w:rsid w:val="660936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6858</Words>
  <Characters>7448</Characters>
  <Lines>0</Lines>
  <Paragraphs>0</Paragraphs>
  <TotalTime>33</TotalTime>
  <ScaleCrop>false</ScaleCrop>
  <LinksUpToDate>false</LinksUpToDate>
  <CharactersWithSpaces>7513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2026-03-19T05:33:00Z</dcterms:created>
  <dc:creator>HUAWEI</dc:creator>
  <cp:lastModifiedBy>估计</cp:lastModifiedBy>
  <dcterms:modified xsi:type="dcterms:W3CDTF">2026-03-19T06:28:14Z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eyJoZGlkIjoiMzEwNTM5NzYwMDRjMzkwZTVkZjY2ODkwMGIxNGU0OTUiLCJ1c2VySWQiOiIxNjM4NTQwMTEyIn0=</vt:lpwstr>
  </property>
  <property fmtid="{D5CDD505-2E9C-101B-9397-08002B2CF9AE}" pid="4" name="ICV">
    <vt:lpwstr>1D3A8E402DDC4EA08ECB49F31C69D543_12</vt:lpwstr>
  </property>
</Properties>
</file>