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0DF7B">
      <w:pPr>
        <w:jc w:val="center"/>
        <w:rPr>
          <w:rFonts w:hint="eastAsia" w:ascii="黑体" w:hAnsi="黑体" w:eastAsia="黑体" w:cs="黑体"/>
          <w:sz w:val="44"/>
          <w:szCs w:val="44"/>
        </w:rPr>
      </w:pPr>
      <w:r>
        <w:rPr>
          <w:rFonts w:hint="eastAsia" w:ascii="黑体" w:hAnsi="黑体" w:eastAsia="黑体" w:cs="黑体"/>
          <w:sz w:val="44"/>
          <w:szCs w:val="44"/>
          <w:lang w:val="en-US" w:eastAsia="zh-CN"/>
        </w:rPr>
        <w:t>ABM</w:t>
      </w:r>
      <w:r>
        <w:rPr>
          <w:rFonts w:hint="eastAsia" w:ascii="黑体" w:hAnsi="黑体" w:eastAsia="黑体" w:cs="黑体"/>
          <w:sz w:val="44"/>
          <w:szCs w:val="44"/>
        </w:rPr>
        <w:t>在新冠疫情公共管理中的应用</w:t>
      </w:r>
    </w:p>
    <w:p w14:paraId="1339CF1D">
      <w:pPr>
        <w:rPr>
          <w:rFonts w:hint="eastAsia"/>
          <w:sz w:val="24"/>
          <w:szCs w:val="24"/>
        </w:rPr>
      </w:pPr>
    </w:p>
    <w:p w14:paraId="2E1BA6BB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一、引言</w:t>
      </w:r>
    </w:p>
    <w:p w14:paraId="523217B5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2019年末新冠疫情爆发以来，全球公共管理面临前所未有的挑战。对于传播速度快、影响因素复杂的新冠病毒，传统模型难以精准预测和模拟其在社会中的动态，而一种基于智能体的模型（Agent-BasedModel，简称ABM）能够模拟每个人的行为和互动，由此为疫情中的公共管理提供了新的视角。本文选取了六个具有代表性的ABM应用案例，涵盖中国深圳、广州、上海、天津以及西班牙加泰罗尼亚、印度兰加雷迪等不同地域，通过案例对比，深入探AB在疫情模拟与公共管理中的价值。</w:t>
      </w:r>
    </w:p>
    <w:p w14:paraId="6DDDA38A">
      <w:pPr>
        <w:rPr>
          <w:rFonts w:hint="eastAsia"/>
          <w:sz w:val="24"/>
          <w:szCs w:val="24"/>
          <w:lang w:val="en-US" w:eastAsia="zh-CN"/>
        </w:rPr>
      </w:pPr>
    </w:p>
    <w:p w14:paraId="393E2BED">
      <w:pPr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二、案例分析</w:t>
      </w:r>
    </w:p>
    <w:p w14:paraId="03163C3F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2.1 深圳市：评估非药物干预措施</w:t>
      </w:r>
    </w:p>
    <w:p w14:paraId="22BDB00B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研究背景与问题：深圳市作为超大城市，在2020年第一波疫情中叠加实施了多项措施。决策者面临的核心难题是：在无法做真实实验的情况下，如何判断哪项措施最有效？</w:t>
      </w:r>
    </w:p>
    <w:p w14:paraId="0B03A603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设计：研究者融合手机信令、出行调查、建筑物普查等多源时空数据，构建了包含1120万人口的精细化“活动链”模型——即记录每个人一天中什么时间在什么地方做什么事。模型以小时为单位，以建筑物为空间单元，记录每个个体的活动位置。研究者还构建了“无任何干预措施”的基准场景，并逐一模拟了居家令、综合隔离、佩戴口罩、分批复工等单项措施的效果。</w:t>
      </w:r>
    </w:p>
    <w:p w14:paraId="6A2FC1F4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结论：研究发现，居家令和综合隔离是能够迅速控制疫情暴发的“核心措施”，可将疫情在30天内压下；而口罩和分批复工是只能降低感染规模、延缓峰值的“辅助措施”。这一结论为资源优先配置提供了依据：在资源有限时，应首先保障隔离能力。此外，模型输出高分辨率疫情时空分布图，清晰识别出福田区、罗湖区等高风险区域，直接支持了“时间-空间-人群”三位一体的精准防控决策。</w:t>
      </w:r>
    </w:p>
    <w:p w14:paraId="3FED92B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2.2 广州市：传染链溯源</w:t>
      </w:r>
    </w:p>
    <w:p w14:paraId="4DCBB66A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研究背景与问题：广州市作为境外入境第一人境点，防控压力大。如何评估境外输入病例对本地疫情的影响？如何快速追踪病毒携带者的活动轨迹？</w:t>
      </w:r>
    </w:p>
    <w:p w14:paraId="072B8138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设计：研究者融合GIS技术和“小世界网络”理论构建模型。“小世界网络”是一种描述人际关系的数学方法，能够模拟熟人之间联系紧密、陌生人之间也有一定关联的社交特点。模型根据居民年龄结构将智能体分为学生、上班族、退休老人三类，并设计了详细的日常行为日志。采用“马尔科夫链蒙特卡洛方法”对关键参数进行率定——这是一种通过大量随机采样来寻找最优参数的统计方法——模型与真实数据的平均绝对百分比误差仅为0.17，精度较高。</w:t>
      </w:r>
    </w:p>
    <w:p w14:paraId="1AF4DA3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结论：模拟发现，在常态化防控下，即使出现少量境外输入引发的感染，只要坚持及时收治和隔离，疫情并不会大规模暴发，拐点通常在14-20天内出现，市民无需过度恐慌。更重要的是，模型通过标记个体的时空位置，能够快速分析“传染链”——即病毒从一个人传给另一个人的路径，发现家庭、学校、办公室是主要感染场所，不同人群感染特点各异——这为制定针对性的“上班族健康监测”、“学生家长联动机制”和“社区重点关怀老人”等精准防控策略提供了科学依据。</w:t>
      </w:r>
    </w:p>
    <w:p w14:paraId="0C09D8C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2.3 上海市黄浦区：模拟核酸检测资源挤兑</w:t>
      </w:r>
    </w:p>
    <w:p w14:paraId="7DD56B72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研究背景与问题：如何在中尺度区域实现高精度的疫情模拟，并考虑流感等其他疾病对核酸检测资源的挤兑？</w:t>
      </w:r>
    </w:p>
    <w:p w14:paraId="745175F1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设计：研究实现了“一对一”的高精度建模，根据第七次人口普查数据和建筑统计信息，精确生成了黄浦区内66万余名智能体及其居住、工作和活动的场所，最大程度还原了真实地理和人口环境。模型特别考虑了类似流感的其他疾病患者也会去检测，从而挤占核酸检测资源，使模拟更加复杂和真实。模型采用了“大圆距离公式”来计算智能体在不同地点之间的移动距离和时间。</w:t>
      </w:r>
    </w:p>
    <w:p w14:paraId="692AC6B5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结论：模型验证结果与官方公布的累计确诊、死亡病例高度一致。模拟显示，在当地口罩佩戴率已达80%的情况下，即使在模拟中将佩戴率提升至100%，效果下降也并不十分明显，但研究依然肯定了口罩作为保护公众健康的必要手段。该研究展示了区县级ABM可作为信息化决策平台，为其他地区提供参考。</w:t>
      </w:r>
    </w:p>
    <w:p w14:paraId="31FE5A0A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2.4 天津市宝坻区：优化复工复产策略</w:t>
      </w:r>
    </w:p>
    <w:p w14:paraId="3A252055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背景与问题：疫情受控后，如何复工复产成为新难题。直接全面放开可能引发第二波疫情，但长期封锁代价巨大。决策者需要知道：该放什么？留什么？何时放？</w:t>
      </w:r>
    </w:p>
    <w:p w14:paraId="3CC9281E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设计：模型中包含了居民、医院、政府三类智能体，模拟了政策、个人行为、疫情发展三者之间的动态博弈。研究者设计了“直接放开”和“逐步放开”两种情景，对比其长期后果。模型中的传播概率计算引入了“欧氏距离”——即两个人之间的直线距离，距离越近感染风险越高。</w:t>
      </w:r>
    </w:p>
    <w:p w14:paraId="24025DF3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结论：结果显示，若在疫情刚清零时直接放开所有措施，会导致疫情二次暴发。而先解除对生活影响最大的“禁止出行”政策，同时保留口罩和社交距离，则能有效避免反弹。这为分阶段、有保留的复工复产提供了量化依据。同时，通过对比有无方舱医院的场景，模型量化证明了方舱医院在缓解医疗挤兑、降低死亡率方面的巨大作用，为公共卫生基础设施建设提供了有力的政策依据。</w:t>
      </w:r>
    </w:p>
    <w:p w14:paraId="1260AC7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2.5 西班牙加泰罗尼亚：评估大尺度区域疫苗策略</w:t>
      </w:r>
    </w:p>
    <w:p w14:paraId="2FDEE54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背景与问题：在2020-2021两年间，加泰罗尼亚经历了五波疫情。如何评估不同疫苗特性、不同接种时间表对疫情控制的影响？</w:t>
      </w:r>
    </w:p>
    <w:p w14:paraId="37D8F51A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设计：研究使用了包含600万样本的人口普查数据，并补充了养老院人口和季节性农业工人等信息。模型引入了“病毒载量”的概念——即感染者体内携带并可能传播给他人的病毒数量，用以更精确地衡量传染风险。模型详细区分了mRNA疫苗和病毒载体疫苗的不同保护效力及衰减规律，并纳入了按年龄分层的疫苗接种时间表。</w:t>
      </w:r>
    </w:p>
    <w:p w14:paraId="0E41079D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结论：模拟成功复现了2020-2021年的五波疫情，揭示了封锁措施和疫苗接种在控制疫情中的关键作用。研究发现，家庭接触是病毒传播的主要贡献者，尤其在严格封锁期间。“病毒载量”的分析显示，疫苗接种不仅能降低感染概率，还能减轻症状、减少患者排出的病毒量。模型能够识别高风险群体及其网络连接，为制定更有针对性的干预措施铺平了道路。</w:t>
      </w:r>
    </w:p>
    <w:p w14:paraId="7AEF633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2.6 印度兰加雷迪区：评估医疗系统压力</w:t>
      </w:r>
    </w:p>
    <w:p w14:paraId="795CB985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背景与问题：在人口稠密、医疗资源相对有限的地区，如何预测不同封锁强度下疫情对医疗系统的冲击？</w:t>
      </w:r>
    </w:p>
    <w:p w14:paraId="5632D401">
      <w:pPr>
        <w:ind w:firstLine="240" w:firstLineChars="1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设计：研究利用公开数据生成了兰加雷迪区54万人口的“合成种群”作为智能体——这是一种通过统计方法生成的、在整体特征上与真实人口一致的虚拟人口。基于当地接触率调查数据设定人际互动规则，并假设接触率与人口密度呈“密度依赖”关系，即人口越密集的地方接触越频繁。模拟了无封锁、50%封锁和75%封锁三种情景，持续365天。</w:t>
      </w:r>
    </w:p>
    <w:p w14:paraId="66901587">
      <w:pPr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关键结论：研究表明，封锁强度越大，感染峰值降低越明显，峰值出现时间也越晚，能为医疗系统争取宝贵的准备时间。模拟结果清晰地展示了无症状感染者、住院患者、ICU患者、使用呼吸机患者的人数变化趋势，为决策者规划ICU床位和呼吸机等医疗资源需求提供了直接的量化依据。研究还进行了“敏感性分析”——即改变关键参数（如潜伏期、无症状比例）观察结果如何变化，发现潜伏期增加2天，总感染人数会增加约25%，强调了快速检测和隔离的重要性。</w:t>
      </w:r>
    </w:p>
    <w:p w14:paraId="4E5182AB">
      <w:pPr>
        <w:rPr>
          <w:rFonts w:hint="eastAsia"/>
          <w:sz w:val="24"/>
          <w:szCs w:val="24"/>
          <w:lang w:val="en-US" w:eastAsia="zh-CN"/>
        </w:rPr>
      </w:pPr>
    </w:p>
    <w:p w14:paraId="78AC98C2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三、比较分析</w:t>
      </w:r>
    </w:p>
    <w:p w14:paraId="6FD68583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3.1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28"/>
          <w:lang w:val="en-US" w:eastAsia="zh-CN"/>
        </w:rPr>
        <w:t>共性特征</w:t>
      </w:r>
    </w:p>
    <w:p w14:paraId="23575BBD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尽管六个案例地域不同、尺度各异，但在应用过程中呈现出显著的共性：</w:t>
      </w:r>
    </w:p>
    <w:p w14:paraId="5F1CF7C6">
      <w:pPr>
        <w:ind w:firstLine="482" w:firstLineChars="2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3.1.1 以</w:t>
      </w:r>
      <w:r>
        <w:rPr>
          <w:rFonts w:hint="default"/>
          <w:b/>
          <w:bCs/>
          <w:sz w:val="24"/>
          <w:szCs w:val="24"/>
          <w:lang w:val="en-US" w:eastAsia="zh-CN"/>
        </w:rPr>
        <w:t>数据</w:t>
      </w:r>
      <w:r>
        <w:rPr>
          <w:rFonts w:hint="eastAsia"/>
          <w:b/>
          <w:bCs/>
          <w:sz w:val="24"/>
          <w:szCs w:val="24"/>
          <w:lang w:val="en-US" w:eastAsia="zh-CN"/>
        </w:rPr>
        <w:t>为基础</w:t>
      </w:r>
    </w:p>
    <w:p w14:paraId="23474417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所有案例均高度依赖多源数据来构建虚拟世界。无论是深圳的手机信令、广州的GIS数据、上海的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一对一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人口建筑匹配，还是加泰罗尼亚的详细普查数据，都印证了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无数据不模型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的核心理念。数据的质量直接决定了模型的真实性和可靠性。</w:t>
      </w:r>
    </w:p>
    <w:p w14:paraId="0A874D15">
      <w:pPr>
        <w:ind w:firstLine="482" w:firstLineChars="2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3.1.2 进行</w:t>
      </w:r>
      <w:r>
        <w:rPr>
          <w:rFonts w:hint="default"/>
          <w:b/>
          <w:bCs/>
          <w:sz w:val="24"/>
          <w:szCs w:val="24"/>
          <w:lang w:val="en-US" w:eastAsia="zh-CN"/>
        </w:rPr>
        <w:t>反事实推演</w:t>
      </w:r>
    </w:p>
    <w:p w14:paraId="45DE088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ABM的核心优势在于其能够进行反事实推演，即模拟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如果不采取该措施会怎样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。深圳研究构建的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无干预措施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基准场景、天津研究的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直接放开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与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逐步放开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对比，都是这一</w:t>
      </w:r>
      <w:r>
        <w:rPr>
          <w:rFonts w:hint="eastAsia"/>
          <w:sz w:val="24"/>
          <w:szCs w:val="24"/>
          <w:lang w:val="en-US" w:eastAsia="zh-CN"/>
        </w:rPr>
        <w:t>方法</w:t>
      </w:r>
      <w:r>
        <w:rPr>
          <w:rFonts w:hint="default"/>
          <w:sz w:val="24"/>
          <w:szCs w:val="24"/>
          <w:lang w:val="en-US" w:eastAsia="zh-CN"/>
        </w:rPr>
        <w:t>的典型体现，为政策评估提供了无法从现实中获得的对照组。</w:t>
      </w:r>
    </w:p>
    <w:p w14:paraId="26135FAE">
      <w:pPr>
        <w:ind w:firstLine="482" w:firstLineChars="2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3.1.3区分</w:t>
      </w:r>
      <w:r>
        <w:rPr>
          <w:rFonts w:hint="default"/>
          <w:b/>
          <w:bCs/>
          <w:sz w:val="24"/>
          <w:szCs w:val="24"/>
          <w:lang w:val="en-US" w:eastAsia="zh-CN"/>
        </w:rPr>
        <w:t>核心措施与辅助措施</w:t>
      </w:r>
    </w:p>
    <w:p w14:paraId="124E3693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深圳和印度研究均明确指出，封锁/居家令和隔离是抑制疫情暴发的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核心措施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，而口罩、社交距离、分批复工则是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辅助措施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。这一区分在不同文化和资源背景下具有普遍意义，为资源优先配置提供了理论依据。</w:t>
      </w:r>
    </w:p>
    <w:p w14:paraId="30433CED">
      <w:pPr>
        <w:ind w:firstLine="482" w:firstLineChars="2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3.1.4 追求</w:t>
      </w:r>
      <w:r>
        <w:rPr>
          <w:rFonts w:hint="default"/>
          <w:b/>
          <w:bCs/>
          <w:sz w:val="24"/>
          <w:szCs w:val="24"/>
          <w:lang w:val="en-US" w:eastAsia="zh-CN"/>
        </w:rPr>
        <w:t>精准化管理</w:t>
      </w:r>
    </w:p>
    <w:p w14:paraId="3071AF34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广州的传染链分析、深圳的高风险区域识别、上海的核酸检测资源挤兑模拟，都指向了同一目标——从</w:t>
      </w:r>
      <w:r>
        <w:rPr>
          <w:rFonts w:hint="eastAsia"/>
          <w:sz w:val="24"/>
          <w:szCs w:val="24"/>
          <w:lang w:val="en-US" w:eastAsia="zh-CN"/>
        </w:rPr>
        <w:t>宽泛</w:t>
      </w:r>
      <w:r>
        <w:rPr>
          <w:rFonts w:hint="default"/>
          <w:sz w:val="24"/>
          <w:szCs w:val="24"/>
          <w:lang w:val="en-US" w:eastAsia="zh-CN"/>
        </w:rPr>
        <w:t>式防控转向精准式管理，针对不同人群、不同场所、不同时间采取差异化策略。</w:t>
      </w:r>
    </w:p>
    <w:p w14:paraId="25429EF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3.2</w:t>
      </w:r>
      <w:r>
        <w:rPr>
          <w:rFonts w:hint="eastAsia"/>
          <w:b/>
          <w:bCs/>
          <w:sz w:val="28"/>
          <w:szCs w:val="28"/>
          <w:lang w:val="en-US" w:eastAsia="zh-CN"/>
        </w:rPr>
        <w:t xml:space="preserve"> </w:t>
      </w:r>
      <w:r>
        <w:rPr>
          <w:rFonts w:hint="default"/>
          <w:b/>
          <w:bCs/>
          <w:sz w:val="28"/>
          <w:szCs w:val="28"/>
          <w:lang w:val="en-US" w:eastAsia="zh-CN"/>
        </w:rPr>
        <w:t>差异对比</w:t>
      </w:r>
    </w:p>
    <w:p w14:paraId="200A45D1">
      <w:pPr>
        <w:ind w:firstLine="482" w:firstLineChars="2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3.2.1 </w:t>
      </w:r>
      <w:r>
        <w:rPr>
          <w:rFonts w:hint="default"/>
          <w:b/>
          <w:bCs/>
          <w:sz w:val="24"/>
          <w:szCs w:val="24"/>
          <w:lang w:val="en-US" w:eastAsia="zh-CN"/>
        </w:rPr>
        <w:t>研究尺度与建模精度</w:t>
      </w:r>
    </w:p>
    <w:p w14:paraId="1986D6D5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案例覆盖了从区县级到大区级的不同尺度。上海研究追求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一对一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高精度建模，而加泰罗尼亚研究则采用10%人口抽样，印度研究采用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合成种群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方法，体现了精度与计算资源、数据可得性之间的权衡。</w:t>
      </w:r>
    </w:p>
    <w:p w14:paraId="08D0DB6A">
      <w:pPr>
        <w:ind w:firstLine="482" w:firstLineChars="20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 xml:space="preserve">3.2.2 </w:t>
      </w:r>
      <w:r>
        <w:rPr>
          <w:rFonts w:hint="default"/>
          <w:b/>
          <w:bCs/>
          <w:sz w:val="24"/>
          <w:szCs w:val="24"/>
          <w:lang w:val="en-US" w:eastAsia="zh-CN"/>
        </w:rPr>
        <w:t>核心关注点不同</w:t>
      </w:r>
    </w:p>
    <w:p w14:paraId="300E5123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深圳和印度研究聚焦于非药物干预措施的效果排序；广州研究侧重于境外输入风险和传染链溯源；上海研究关注核酸检测资源挤兑等复杂场景；天津研究强调多智能体博弈与复工复产策略；加泰罗尼亚研究则着重评估疫苗策略。这反映了ABM的灵活性，可根据不同政策需求定制模型。</w:t>
      </w:r>
    </w:p>
    <w:p w14:paraId="08CE618D">
      <w:pPr>
        <w:rPr>
          <w:rFonts w:hint="default"/>
          <w:sz w:val="24"/>
          <w:szCs w:val="24"/>
          <w:lang w:val="en-US" w:eastAsia="zh-CN"/>
        </w:rPr>
      </w:pPr>
    </w:p>
    <w:p w14:paraId="7C113219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四、现存局限性</w:t>
      </w:r>
    </w:p>
    <w:p w14:paraId="488DC6F7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尽管</w:t>
      </w:r>
      <w:r>
        <w:rPr>
          <w:rFonts w:hint="eastAsia"/>
          <w:sz w:val="24"/>
          <w:szCs w:val="24"/>
          <w:lang w:val="en-US" w:eastAsia="zh-CN"/>
        </w:rPr>
        <w:t>ABM已</w:t>
      </w:r>
      <w:r>
        <w:rPr>
          <w:rFonts w:hint="default"/>
          <w:sz w:val="24"/>
          <w:szCs w:val="24"/>
          <w:lang w:val="en-US" w:eastAsia="zh-CN"/>
        </w:rPr>
        <w:t>展现出强大的应用潜力，但</w:t>
      </w:r>
      <w:r>
        <w:rPr>
          <w:rFonts w:hint="eastAsia"/>
          <w:sz w:val="24"/>
          <w:szCs w:val="24"/>
          <w:lang w:val="en-US" w:eastAsia="zh-CN"/>
        </w:rPr>
        <w:t>研究指出，</w:t>
      </w:r>
      <w:r>
        <w:rPr>
          <w:rFonts w:hint="default"/>
          <w:sz w:val="24"/>
          <w:szCs w:val="24"/>
          <w:lang w:val="en-US" w:eastAsia="zh-CN"/>
        </w:rPr>
        <w:t>其</w:t>
      </w:r>
      <w:r>
        <w:rPr>
          <w:rFonts w:hint="eastAsia"/>
          <w:sz w:val="24"/>
          <w:szCs w:val="24"/>
          <w:lang w:val="en-US" w:eastAsia="zh-CN"/>
        </w:rPr>
        <w:t>在现阶段仍存在</w:t>
      </w:r>
      <w:r>
        <w:rPr>
          <w:rFonts w:hint="default"/>
          <w:sz w:val="24"/>
          <w:szCs w:val="24"/>
          <w:lang w:val="en-US" w:eastAsia="zh-CN"/>
        </w:rPr>
        <w:t>局限性。</w:t>
      </w:r>
    </w:p>
    <w:p w14:paraId="7A433689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4.1 对数据数量和质量的高度依赖</w:t>
      </w:r>
    </w:p>
    <w:p w14:paraId="1F4CAE8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模型</w:t>
      </w:r>
      <w:r>
        <w:rPr>
          <w:rFonts w:hint="eastAsia"/>
          <w:sz w:val="24"/>
          <w:szCs w:val="24"/>
          <w:lang w:val="en-US" w:eastAsia="zh-CN"/>
        </w:rPr>
        <w:t>的真实性</w:t>
      </w:r>
      <w:r>
        <w:rPr>
          <w:rFonts w:hint="default"/>
          <w:sz w:val="24"/>
          <w:szCs w:val="24"/>
          <w:lang w:val="en-US" w:eastAsia="zh-CN"/>
        </w:rPr>
        <w:t>取决于输入的数据</w:t>
      </w:r>
      <w:r>
        <w:rPr>
          <w:rFonts w:hint="eastAsia"/>
          <w:sz w:val="24"/>
          <w:szCs w:val="24"/>
          <w:lang w:val="en-US" w:eastAsia="zh-CN"/>
        </w:rPr>
        <w:t>数量和质量</w:t>
      </w:r>
      <w:r>
        <w:rPr>
          <w:rFonts w:hint="default"/>
          <w:sz w:val="24"/>
          <w:szCs w:val="24"/>
          <w:lang w:val="en-US" w:eastAsia="zh-CN"/>
        </w:rPr>
        <w:t>。加泰罗尼亚的研究虽然使用了海量数据，但数据本身存在局限性，如移动电话数据缺乏年龄信息、企业规模和位置信息不够精细</w:t>
      </w:r>
      <w:r>
        <w:rPr>
          <w:rFonts w:hint="eastAsia"/>
          <w:sz w:val="24"/>
          <w:szCs w:val="24"/>
          <w:lang w:val="en-US" w:eastAsia="zh-CN"/>
        </w:rPr>
        <w:t>等</w:t>
      </w:r>
      <w:r>
        <w:rPr>
          <w:rFonts w:hint="default"/>
          <w:sz w:val="24"/>
          <w:szCs w:val="24"/>
          <w:lang w:val="en-US" w:eastAsia="zh-CN"/>
        </w:rPr>
        <w:t>。深圳和上海的研究也指出，由于缺乏最新或特定的人群流动真实轨迹数据，只能使用替代数据或简化假设，这可能与现状存在偏差。</w:t>
      </w:r>
    </w:p>
    <w:p w14:paraId="5A8C390F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4.2 参数的不确定性和复杂性</w:t>
      </w:r>
    </w:p>
    <w:p w14:paraId="4345814E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ABM</w:t>
      </w:r>
      <w:r>
        <w:rPr>
          <w:rFonts w:hint="default"/>
          <w:sz w:val="24"/>
          <w:szCs w:val="24"/>
          <w:lang w:val="en-US" w:eastAsia="zh-CN"/>
        </w:rPr>
        <w:t>涉及成百上千个参数。这些参数的设定往往源于医学文献或专家假设，本身存在不确定性。天津的研究发现</w:t>
      </w:r>
      <w:r>
        <w:rPr>
          <w:rFonts w:hint="eastAsia"/>
          <w:sz w:val="24"/>
          <w:szCs w:val="24"/>
          <w:lang w:val="en-US" w:eastAsia="zh-CN"/>
        </w:rPr>
        <w:t>，在检验过程中</w:t>
      </w:r>
      <w:r>
        <w:rPr>
          <w:rFonts w:hint="default"/>
          <w:sz w:val="24"/>
          <w:szCs w:val="24"/>
          <w:lang w:val="en-US" w:eastAsia="zh-CN"/>
        </w:rPr>
        <w:t>，由于参数众多，进行全局校准极其困难，只能选择最敏感的少数几个参数进行优化，这限制了模型的预测</w:t>
      </w:r>
      <w:r>
        <w:rPr>
          <w:rFonts w:hint="eastAsia"/>
          <w:sz w:val="24"/>
          <w:szCs w:val="24"/>
          <w:lang w:val="en-US" w:eastAsia="zh-CN"/>
        </w:rPr>
        <w:t>精准度</w:t>
      </w:r>
      <w:r>
        <w:rPr>
          <w:rFonts w:hint="default"/>
          <w:sz w:val="24"/>
          <w:szCs w:val="24"/>
          <w:lang w:val="en-US" w:eastAsia="zh-CN"/>
        </w:rPr>
        <w:t>。</w:t>
      </w:r>
    </w:p>
    <w:p w14:paraId="0D643A38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4.3 对现实的简化</w:t>
      </w:r>
    </w:p>
    <w:p w14:paraId="112C794A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任何模型都是现实的简化。印度研究承认，他们没有考虑基础疾病、人口迁移路径等复杂因素。天津的研究也指出，现实中病毒特性、人群行为、政策依从性</w:t>
      </w:r>
      <w:r>
        <w:rPr>
          <w:rFonts w:hint="eastAsia"/>
          <w:sz w:val="24"/>
          <w:szCs w:val="24"/>
          <w:lang w:val="en-US" w:eastAsia="zh-CN"/>
        </w:rPr>
        <w:t>等</w:t>
      </w:r>
      <w:r>
        <w:rPr>
          <w:rFonts w:hint="default"/>
          <w:sz w:val="24"/>
          <w:szCs w:val="24"/>
          <w:lang w:val="en-US" w:eastAsia="zh-CN"/>
        </w:rPr>
        <w:t>会随时间变化，这些在模型中很难</w:t>
      </w:r>
      <w:r>
        <w:rPr>
          <w:rFonts w:hint="eastAsia"/>
          <w:sz w:val="24"/>
          <w:szCs w:val="24"/>
          <w:lang w:val="en-US" w:eastAsia="zh-CN"/>
        </w:rPr>
        <w:t>完全</w:t>
      </w:r>
      <w:r>
        <w:rPr>
          <w:rFonts w:hint="default"/>
          <w:sz w:val="24"/>
          <w:szCs w:val="24"/>
          <w:lang w:val="en-US" w:eastAsia="zh-CN"/>
        </w:rPr>
        <w:t>复现。</w:t>
      </w:r>
    </w:p>
    <w:p w14:paraId="6F8743B8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4.4 对算力的极高要求</w:t>
      </w:r>
    </w:p>
    <w:p w14:paraId="20B96FBD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ABM需要模拟成千上万个体的互动，计算量巨大。深圳和上海的研究都提到，实验需要在高性能计算集群上进行</w: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default"/>
          <w:sz w:val="24"/>
          <w:szCs w:val="24"/>
          <w:lang w:val="en-US" w:eastAsia="zh-CN"/>
        </w:rPr>
        <w:t>或存在计算耗时长的问题，这在一定程度上限制了</w:t>
      </w:r>
      <w:r>
        <w:rPr>
          <w:rFonts w:hint="eastAsia"/>
          <w:sz w:val="24"/>
          <w:szCs w:val="24"/>
          <w:lang w:val="en-US" w:eastAsia="zh-CN"/>
        </w:rPr>
        <w:t>ABM的</w:t>
      </w:r>
      <w:r>
        <w:rPr>
          <w:rFonts w:hint="default"/>
          <w:sz w:val="24"/>
          <w:szCs w:val="24"/>
          <w:lang w:val="en-US" w:eastAsia="zh-CN"/>
        </w:rPr>
        <w:t>推广。</w:t>
      </w:r>
    </w:p>
    <w:p w14:paraId="3E1F16C5">
      <w:pPr>
        <w:rPr>
          <w:rFonts w:hint="default"/>
          <w:sz w:val="24"/>
          <w:szCs w:val="24"/>
          <w:lang w:val="en-US" w:eastAsia="zh-CN"/>
        </w:rPr>
      </w:pPr>
    </w:p>
    <w:p w14:paraId="2E7EFC5B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五、结论</w:t>
      </w:r>
    </w:p>
    <w:p w14:paraId="480DBFFF">
      <w:pPr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综合六个案例，</w:t>
      </w:r>
      <w:r>
        <w:rPr>
          <w:rFonts w:hint="eastAsia"/>
          <w:sz w:val="24"/>
          <w:szCs w:val="24"/>
          <w:lang w:val="en-US" w:eastAsia="zh-CN"/>
        </w:rPr>
        <w:t>我们发现，在公共管理中，</w:t>
      </w:r>
      <w:r>
        <w:rPr>
          <w:rFonts w:hint="default"/>
          <w:sz w:val="24"/>
          <w:szCs w:val="24"/>
          <w:lang w:val="en-US" w:eastAsia="zh-CN"/>
        </w:rPr>
        <w:t>ABM连接</w:t>
      </w:r>
      <w:r>
        <w:rPr>
          <w:rFonts w:hint="eastAsia"/>
          <w:sz w:val="24"/>
          <w:szCs w:val="24"/>
          <w:lang w:val="en-US" w:eastAsia="zh-CN"/>
        </w:rPr>
        <w:t>了</w:t>
      </w:r>
      <w:r>
        <w:rPr>
          <w:rFonts w:hint="default"/>
          <w:sz w:val="24"/>
          <w:szCs w:val="24"/>
          <w:lang w:val="en-US" w:eastAsia="zh-CN"/>
        </w:rPr>
        <w:t>微观个体行为与宏观政策效果。通过构建虚拟社会，ABM为政策制定者提供了一个无风险、可重复、可定制的</w:t>
      </w:r>
      <w:r>
        <w:rPr>
          <w:rFonts w:hint="eastAsia"/>
          <w:sz w:val="24"/>
          <w:szCs w:val="24"/>
          <w:lang w:val="en-US" w:eastAsia="zh-CN"/>
        </w:rPr>
        <w:t>“</w:t>
      </w:r>
      <w:r>
        <w:rPr>
          <w:rFonts w:hint="default"/>
          <w:sz w:val="24"/>
          <w:szCs w:val="24"/>
          <w:lang w:val="en-US" w:eastAsia="zh-CN"/>
        </w:rPr>
        <w:t>政策实验室</w:t>
      </w:r>
      <w:r>
        <w:rPr>
          <w:rFonts w:hint="eastAsia"/>
          <w:sz w:val="24"/>
          <w:szCs w:val="24"/>
          <w:lang w:val="en-US" w:eastAsia="zh-CN"/>
        </w:rPr>
        <w:t>”</w:t>
      </w:r>
      <w:r>
        <w:rPr>
          <w:rFonts w:hint="default"/>
          <w:sz w:val="24"/>
          <w:szCs w:val="24"/>
          <w:lang w:val="en-US" w:eastAsia="zh-CN"/>
        </w:rPr>
        <w:t>。在这里，可以量化评估各项措施的单一效果和组合效果，可以预演不同</w:t>
      </w:r>
      <w:r>
        <w:rPr>
          <w:rFonts w:hint="eastAsia"/>
          <w:sz w:val="24"/>
          <w:szCs w:val="24"/>
          <w:lang w:val="en-US" w:eastAsia="zh-CN"/>
        </w:rPr>
        <w:t>政策</w:t>
      </w:r>
      <w:r>
        <w:rPr>
          <w:rFonts w:hint="default"/>
          <w:sz w:val="24"/>
          <w:szCs w:val="24"/>
          <w:lang w:val="en-US" w:eastAsia="zh-CN"/>
        </w:rPr>
        <w:t>路径的长期后果，可以识别</w:t>
      </w:r>
      <w:r>
        <w:rPr>
          <w:rFonts w:hint="eastAsia"/>
          <w:sz w:val="24"/>
          <w:szCs w:val="24"/>
          <w:lang w:val="en-US" w:eastAsia="zh-CN"/>
        </w:rPr>
        <w:t>多类型</w:t>
      </w:r>
      <w:r>
        <w:rPr>
          <w:rFonts w:hint="default"/>
          <w:sz w:val="24"/>
          <w:szCs w:val="24"/>
          <w:lang w:val="en-US" w:eastAsia="zh-CN"/>
        </w:rPr>
        <w:t>人群，可以优化</w:t>
      </w:r>
      <w:r>
        <w:rPr>
          <w:rFonts w:hint="eastAsia"/>
          <w:sz w:val="24"/>
          <w:szCs w:val="24"/>
          <w:lang w:val="en-US" w:eastAsia="zh-CN"/>
        </w:rPr>
        <w:t>有限</w:t>
      </w:r>
      <w:r>
        <w:rPr>
          <w:rFonts w:hint="default"/>
          <w:sz w:val="24"/>
          <w:szCs w:val="24"/>
          <w:lang w:val="en-US" w:eastAsia="zh-CN"/>
        </w:rPr>
        <w:t>资源的配置方案。尽管ABM仍</w:t>
      </w:r>
      <w:r>
        <w:rPr>
          <w:rFonts w:hint="eastAsia"/>
          <w:sz w:val="24"/>
          <w:szCs w:val="24"/>
          <w:lang w:val="en-US" w:eastAsia="zh-CN"/>
        </w:rPr>
        <w:t>存在局限性</w:t>
      </w:r>
      <w:r>
        <w:rPr>
          <w:rFonts w:hint="default"/>
          <w:sz w:val="24"/>
          <w:szCs w:val="24"/>
          <w:lang w:val="en-US" w:eastAsia="zh-CN"/>
        </w:rPr>
        <w:t>，但作为一种决策辅助工具，其在应对突发公共卫生事件中的作用已得到充分验证。未来，随着数据环境的丰富和计算能力的提升，ABM有望在精细化公共管理中发挥更加重要的作用。</w:t>
      </w:r>
    </w:p>
    <w:p w14:paraId="62D02625">
      <w:pPr>
        <w:rPr>
          <w:rFonts w:hint="eastAsia" w:ascii="黑体" w:hAnsi="黑体" w:eastAsia="黑体" w:cs="黑体"/>
          <w:sz w:val="30"/>
          <w:szCs w:val="30"/>
          <w:lang w:val="en-US" w:eastAsia="zh-CN"/>
        </w:rPr>
      </w:pPr>
      <w:bookmarkStart w:id="0" w:name="_GoBack"/>
      <w:bookmarkEnd w:id="0"/>
      <w:r>
        <w:rPr>
          <w:rFonts w:hint="eastAsia" w:ascii="黑体" w:hAnsi="黑体" w:eastAsia="黑体" w:cs="黑体"/>
          <w:sz w:val="30"/>
          <w:szCs w:val="30"/>
          <w:lang w:val="en-US" w:eastAsia="zh-CN"/>
        </w:rPr>
        <w:t>参考文献</w:t>
      </w:r>
    </w:p>
    <w:p w14:paraId="7143A544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kern w:val="2"/>
          <w:sz w:val="24"/>
          <w:szCs w:val="24"/>
          <w:lang w:val="en-US" w:eastAsia="zh-CN" w:bidi="ar-SA"/>
        </w:rPr>
        <w:t>[1]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DongT,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DongW,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XuQ.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Agent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Simulation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Model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of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COVID-19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Epidemic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Agent-Basedon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GIS: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Case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Study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of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Huangpu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District,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Shanghai[J].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International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Journal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of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Environmental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Research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and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Public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Health,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2022,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19(16):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10242.</w:t>
      </w:r>
    </w:p>
    <w:p w14:paraId="4D1A6834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[2]Narassima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MS,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Jammy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GR,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Pant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R,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et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al.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An Agent Based Model for assessing spread and health systems burden for COVID-19 in Rangareddy district, Telangana state, India[EB/OL].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medRxiv,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2020.</w:t>
      </w:r>
    </w:p>
    <w:p w14:paraId="395E813E">
      <w:pPr>
        <w:numPr>
          <w:ilvl w:val="0"/>
          <w:numId w:val="0"/>
        </w:numPr>
        <w:jc w:val="left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[3]Bosman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M,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Cordon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Y,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Duran-Sala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M,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et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al.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An agent based simulation of COVID-19 history in Catalonia using extensive real datasets[J].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Scientific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Reports,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2024,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14: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31858.</w:t>
      </w:r>
    </w:p>
    <w:p w14:paraId="32B6648D">
      <w:pPr>
        <w:numPr>
          <w:ilvl w:val="0"/>
          <w:numId w:val="0"/>
        </w:numP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[4]曹中浩,张健钦,杨木,等.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基于GIS新冠智能体仿真模型及应用——以广州市为例[J].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地球信息科学学报,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2021,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23(2):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297-306.</w:t>
      </w:r>
    </w:p>
    <w:p w14:paraId="2A0163D0">
      <w:pPr>
        <w:numPr>
          <w:ilvl w:val="0"/>
          <w:numId w:val="0"/>
        </w:numP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[5]张琦.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基于智能体的新冠疫情管控策略研究[D].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天津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天津农学院,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2024.</w:t>
      </w:r>
    </w:p>
    <w:p w14:paraId="11BEE5AB">
      <w:pPr>
        <w:numPr>
          <w:ilvl w:val="0"/>
          <w:numId w:val="0"/>
        </w:numP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[6]张浩,尹凌,刘康,等.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深圳市快速抑制COVID-19疫情的非药物干预措施效果评估：基于智能体的建模研究[J].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地球信息科学学报,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2021,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23(11):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1936-1945.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YyMzVmZDcwMjIwN2YzYjUzODQ5MDg5YTQzN2FiN2IifQ=="/>
  </w:docVars>
  <w:rsids>
    <w:rsidRoot w:val="00000000"/>
    <w:rsid w:val="13B7609B"/>
    <w:rsid w:val="23741B32"/>
    <w:rsid w:val="3DBB6E98"/>
    <w:rsid w:val="43A35005"/>
    <w:rsid w:val="47C7131A"/>
    <w:rsid w:val="493B651E"/>
    <w:rsid w:val="4AC72C9B"/>
    <w:rsid w:val="752F6E27"/>
    <w:rsid w:val="78177BE5"/>
    <w:rsid w:val="7FF6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2911</Words>
  <Characters>3507</Characters>
  <Lines>0</Lines>
  <Paragraphs>0</Paragraphs>
  <TotalTime>3315</TotalTime>
  <ScaleCrop>false</ScaleCrop>
  <LinksUpToDate>false</LinksUpToDate>
  <CharactersWithSpaces>3591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2026-03-10T08:08:00Z</dcterms:created>
  <dc:creator>YC.Wong</dc:creator>
  <cp:lastModifiedBy>激昂小笨笨</cp:lastModifiedBy>
  <dcterms:modified xsi:type="dcterms:W3CDTF">2026-03-19T11:31:10Z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B99B636C5C194248BF9F563F11D109BC_12</vt:lpwstr>
  </property>
</Properties>
</file>