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0843DA">
      <w:pPr>
        <w:rPr>
          <w:rFonts w:hint="eastAsia" w:ascii="宋体" w:hAnsi="宋体" w:eastAsia="宋体" w:cs="宋体"/>
          <w:b/>
          <w:bCs/>
          <w:sz w:val="36"/>
          <w:szCs w:val="36"/>
          <w:lang w:eastAsia="zh-CN"/>
        </w:rPr>
      </w:pPr>
      <w:r>
        <w:rPr>
          <w:rFonts w:hint="eastAsia" w:ascii="宋体" w:hAnsi="宋体" w:eastAsia="宋体" w:cs="宋体"/>
          <w:b/>
          <w:bCs/>
          <w:sz w:val="36"/>
          <w:szCs w:val="36"/>
          <w:lang w:eastAsia="zh-CN"/>
        </w:rPr>
        <w:t>算法权力与平台劳动：基于智能体模拟的文献综述</w:t>
      </w:r>
    </w:p>
    <w:p w14:paraId="187B93AF">
      <w:pPr>
        <w:rPr>
          <w:rFonts w:hint="eastAsia" w:ascii="宋体" w:hAnsi="宋体" w:eastAsia="宋体" w:cs="宋体"/>
          <w:lang w:eastAsia="zh-CN"/>
        </w:rPr>
      </w:pPr>
    </w:p>
    <w:p w14:paraId="1CE7F42D">
      <w:pPr>
        <w:rPr>
          <w:rFonts w:hint="eastAsia" w:ascii="宋体" w:hAnsi="宋体" w:eastAsia="宋体" w:cs="宋体"/>
          <w:sz w:val="24"/>
          <w:szCs w:val="24"/>
          <w:lang w:eastAsia="zh-CN"/>
        </w:rPr>
      </w:pPr>
      <w:r>
        <w:rPr>
          <w:rFonts w:hint="eastAsia" w:ascii="宋体" w:hAnsi="宋体" w:eastAsia="宋体" w:cs="宋体"/>
          <w:sz w:val="24"/>
          <w:szCs w:val="24"/>
          <w:lang w:eastAsia="zh-CN"/>
        </w:rPr>
        <w:t>摘要：随着平台经济的兴起，算法管理深刻重塑了外卖骑手、网约车司机等零工劳动者的工作方式，引发了关于劳动权益、公共安全与技术伦理的广泛讨论。近年来，智能体模拟（Agent-BasedSimulation,ABS）与多智能体强化学习（Multi-AgentReinforcementLearning,MARL）成为研究平台-劳动者动态博弈、评估政策干预效果的前沿方法。本文系统梳理了2024-2026年间国内外运用智能体模拟方法探讨平台算法治理的代表性文献，聚焦于三个核心议题：平台-骑手博弈与算法策略、劳动公平与市场规制，以及AI代理作为新劳动者带来的挑战。综述发现，现有研究正从静态优化转向动态博弈、从单一目标转向多利益相关者权衡、从黑箱模型转向可解释性分析，并开始前瞻性地探索AI劳动力市场。最后，本文指出了现有研究的不足与未来可能的研究方向。</w:t>
      </w:r>
    </w:p>
    <w:p w14:paraId="163E5142">
      <w:pPr>
        <w:rPr>
          <w:rFonts w:hint="eastAsia" w:ascii="宋体" w:hAnsi="宋体" w:eastAsia="宋体" w:cs="宋体"/>
          <w:sz w:val="24"/>
          <w:szCs w:val="24"/>
          <w:lang w:eastAsia="zh-CN"/>
        </w:rPr>
      </w:pPr>
      <w:r>
        <w:rPr>
          <w:rFonts w:hint="eastAsia" w:ascii="宋体" w:hAnsi="宋体" w:eastAsia="宋体" w:cs="宋体"/>
          <w:sz w:val="24"/>
          <w:szCs w:val="24"/>
          <w:lang w:eastAsia="zh-CN"/>
        </w:rPr>
        <w:t>关键词：算法权力；平台经济；外卖骑手；智能体模拟；多智能体强化学习；劳动权益</w:t>
      </w:r>
    </w:p>
    <w:p w14:paraId="5B5A3A9A">
      <w:pPr>
        <w:rPr>
          <w:rFonts w:hint="eastAsia" w:ascii="宋体" w:hAnsi="宋体" w:eastAsia="宋体" w:cs="宋体"/>
          <w:lang w:val="en-US" w:eastAsia="zh-CN"/>
        </w:rPr>
      </w:pPr>
    </w:p>
    <w:p w14:paraId="49E992B9">
      <w:pPr>
        <w:rPr>
          <w:rFonts w:hint="eastAsia" w:ascii="宋体" w:hAnsi="宋体" w:eastAsia="宋体" w:cs="宋体"/>
          <w:sz w:val="32"/>
          <w:szCs w:val="32"/>
          <w:lang w:eastAsia="zh-CN"/>
        </w:rPr>
      </w:pPr>
      <w:r>
        <w:rPr>
          <w:rFonts w:hint="eastAsia" w:ascii="宋体" w:hAnsi="宋体" w:eastAsia="宋体" w:cs="宋体"/>
          <w:sz w:val="32"/>
          <w:szCs w:val="32"/>
          <w:lang w:val="en-US" w:eastAsia="zh-CN"/>
        </w:rPr>
        <w:t>一、</w:t>
      </w:r>
      <w:r>
        <w:rPr>
          <w:rFonts w:hint="eastAsia" w:ascii="宋体" w:hAnsi="宋体" w:eastAsia="宋体" w:cs="宋体"/>
          <w:sz w:val="32"/>
          <w:szCs w:val="32"/>
          <w:lang w:eastAsia="zh-CN"/>
        </w:rPr>
        <w:t>引言</w:t>
      </w:r>
    </w:p>
    <w:p w14:paraId="6CF233EA">
      <w:pPr>
        <w:ind w:firstLine="420" w:firstLineChars="200"/>
        <w:rPr>
          <w:rFonts w:hint="eastAsia" w:ascii="宋体" w:hAnsi="宋体" w:eastAsia="宋体" w:cs="宋体"/>
          <w:lang w:eastAsia="zh-CN"/>
        </w:rPr>
      </w:pPr>
    </w:p>
    <w:p w14:paraId="71DC6C04">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外卖骑手、网约车司机“被困在系统里”——这一社会现象揭示了算法作为新兴治理工具的复杂影响（Chen&amp;Sun,2024）。平台企业通过算法设定派单逻辑、时间计算与奖惩机制，不仅决定了劳动者的收入，还在客观上迫使他们挑战交通规则与身体极限（Rosenblat&amp;Stark,2016）。由此引发的公共管理议题包括：传统劳动法如何适应零工模式？算法作为一种“私权力”应受到何种公共规制？如何在效率与人本之间寻求平衡？（Woodetal.,2019）</w:t>
      </w:r>
    </w:p>
    <w:p w14:paraId="34FCF4E2">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智能体模拟方法为研究这类复杂社会技术系统提供了独特视角。它能够刻画异质性个体的微观行为，并涌现出宏观的市场动态和政策效应（Epstein,2006），尤其适合评估不同规制情景（如数据隐私法、最低工资标准）的潜在影响。近年来，结合强化学习和大语言模型的智能体模拟更是将研究推向了新的高度（Zhao&amp;Li,2025）。</w:t>
      </w:r>
    </w:p>
    <w:p w14:paraId="11D97C9F">
      <w:pPr>
        <w:rPr>
          <w:rFonts w:hint="eastAsia" w:ascii="宋体" w:hAnsi="宋体" w:eastAsia="宋体" w:cs="宋体"/>
          <w:sz w:val="24"/>
          <w:szCs w:val="24"/>
          <w:lang w:val="en-US" w:eastAsia="zh-CN"/>
        </w:rPr>
      </w:pPr>
    </w:p>
    <w:p w14:paraId="59C28C68">
      <w:pPr>
        <w:rPr>
          <w:rFonts w:hint="eastAsia" w:ascii="宋体" w:hAnsi="宋体" w:eastAsia="宋体" w:cs="宋体"/>
          <w:sz w:val="32"/>
          <w:szCs w:val="32"/>
          <w:lang w:eastAsia="zh-CN"/>
        </w:rPr>
      </w:pPr>
      <w:r>
        <w:rPr>
          <w:rFonts w:hint="eastAsia" w:ascii="宋体" w:hAnsi="宋体" w:eastAsia="宋体" w:cs="宋体"/>
          <w:sz w:val="32"/>
          <w:szCs w:val="32"/>
          <w:lang w:val="en-US" w:eastAsia="zh-CN"/>
        </w:rPr>
        <w:t>二、</w:t>
      </w:r>
      <w:r>
        <w:rPr>
          <w:rFonts w:hint="eastAsia" w:ascii="宋体" w:hAnsi="宋体" w:eastAsia="宋体" w:cs="宋体"/>
          <w:sz w:val="32"/>
          <w:szCs w:val="32"/>
          <w:lang w:eastAsia="zh-CN"/>
        </w:rPr>
        <w:t>平台-骑手博弈与算法策略</w:t>
      </w:r>
    </w:p>
    <w:p w14:paraId="4AFB4B0C">
      <w:pPr>
        <w:rPr>
          <w:rFonts w:hint="eastAsia" w:ascii="宋体" w:hAnsi="宋体" w:eastAsia="宋体" w:cs="宋体"/>
          <w:sz w:val="24"/>
          <w:szCs w:val="24"/>
          <w:lang w:eastAsia="zh-CN"/>
        </w:rPr>
      </w:pPr>
    </w:p>
    <w:p w14:paraId="771A6E17">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平台与骑手之间的动态博弈是算法治理研究的核心。最新文献从数据隐私、歧视性分配、多方优化等角度深入揭示了算法的运作逻辑。</w:t>
      </w:r>
    </w:p>
    <w:p w14:paraId="30713C97">
      <w:pPr>
        <w:ind w:firstLine="480" w:firstLineChars="200"/>
        <w:rPr>
          <w:rFonts w:hint="eastAsia" w:ascii="楷体" w:hAnsi="楷体" w:eastAsia="楷体" w:cs="楷体"/>
          <w:sz w:val="24"/>
          <w:szCs w:val="24"/>
          <w:lang w:eastAsia="zh-CN"/>
        </w:rPr>
      </w:pPr>
      <w:r>
        <w:rPr>
          <w:rFonts w:hint="eastAsia" w:ascii="楷体" w:hAnsi="楷体" w:eastAsia="楷体" w:cs="楷体"/>
          <w:sz w:val="24"/>
          <w:szCs w:val="24"/>
          <w:lang w:eastAsia="zh-CN"/>
        </w:rPr>
        <w:t>2.1数据隐私法规的影响</w:t>
      </w:r>
    </w:p>
    <w:p w14:paraId="1B9A6C54">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Zhao和Li（2025）在《TransportationResearchPartC》发表的论文首次系统评估了通用数据保护条例（GDPR）等数据隐私法规对外卖平台的影响。他们构建了一个多智能体强化学习框架：平台端采用马尔可夫决策过程（MDP）建模运营策略（订单捆绑、分配、支付），使用DoubleDQN（离散订单分配）和PPO-KL-CLIP（连续支付决策）的混合算法；骑手端则采用多智能体上下文多臂老虎机（MA-CMAB）结合基于最大似然估计的汤普森采样，模拟骑手在接受订单和是否允许平台使用个人数据上的策略选择。</w:t>
      </w:r>
    </w:p>
    <w:p w14:paraId="725AA425">
      <w:pPr>
        <w:ind w:firstLine="480" w:firstLineChars="200"/>
        <w:rPr>
          <w:rFonts w:hint="eastAsia" w:ascii="宋体" w:hAnsi="宋体" w:eastAsia="宋体" w:cs="宋体"/>
          <w:sz w:val="24"/>
          <w:szCs w:val="24"/>
          <w:lang w:eastAsia="zh-CN"/>
        </w:rPr>
      </w:pPr>
      <w:r>
        <w:rPr>
          <w:rFonts w:hint="eastAsia" w:ascii="宋体" w:hAnsi="宋体" w:eastAsia="宋体" w:cs="宋体"/>
          <w:i w:val="0"/>
          <w:iCs w:val="0"/>
          <w:caps w:val="0"/>
          <w:color w:val="0F1115"/>
          <w:spacing w:val="0"/>
          <w:sz w:val="24"/>
          <w:szCs w:val="24"/>
          <w:shd w:val="clear" w:fill="FFFFFF"/>
        </w:rPr>
        <w:t>模拟结果显示，数据隐私法规反而可能增加活跃骑手数量、提高平台利润并改善用户体验。这是因为禁止基于个人数据的歧视性分配，为更多骑手（尤其是弱势群体）创造了工作机会，提升了整体系统运力（Zhao&amp;Li,2025）。该研究不仅提供了反直觉的政策洞见，还开源了全部代码，为后续研究提供了可复现的基准。</w:t>
      </w:r>
    </w:p>
    <w:p w14:paraId="60BF9B1A">
      <w:pPr>
        <w:ind w:firstLine="480" w:firstLineChars="200"/>
        <w:rPr>
          <w:rFonts w:hint="eastAsia" w:ascii="楷体" w:hAnsi="楷体" w:eastAsia="楷体" w:cs="楷体"/>
          <w:sz w:val="24"/>
          <w:szCs w:val="24"/>
          <w:lang w:eastAsia="zh-CN"/>
        </w:rPr>
      </w:pPr>
      <w:r>
        <w:rPr>
          <w:rFonts w:hint="eastAsia" w:ascii="楷体" w:hAnsi="楷体" w:eastAsia="楷体" w:cs="楷体"/>
          <w:sz w:val="24"/>
          <w:szCs w:val="24"/>
          <w:lang w:eastAsia="zh-CN"/>
        </w:rPr>
        <w:t>2.2歧视性订单分配与个性化支付</w:t>
      </w:r>
    </w:p>
    <w:p w14:paraId="01D29C22">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在后续工作中，Zhao和Li（2026）进一步探索了平台如何通过算法实施歧视性的订单分配和个性化支付（《TransportationResearchPartE》）。他们提出多动作、多智能体深度强化学习框架，其中DoubleDQN用于离散的订单分配，DoublePPO用于连续的支付决策。技术创新包括引入QK-注意力机制将乘法时间复杂度转化为加法，以及可变长双向LSTM处理变长订单序列，大幅提升了计算效率。</w:t>
      </w:r>
    </w:p>
    <w:p w14:paraId="7FCB81D7">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关键发现是：平台会策略性地歧视骑手——拒绝率高的骑手在高峰时段反而接到更多订单，但单位报酬更低。平台通过将长距离订单优先分配给更可能接单的骑手来实现利润最大化，揭示了算法管理的隐性偏见（Zhao&amp;Li,2026）。这一发现对理解算法权力的不平等分配具有重要意义。</w:t>
      </w:r>
    </w:p>
    <w:p w14:paraId="4DE16915">
      <w:pPr>
        <w:ind w:firstLine="480" w:firstLineChars="200"/>
        <w:rPr>
          <w:rFonts w:hint="eastAsia" w:ascii="宋体" w:hAnsi="宋体" w:eastAsia="宋体" w:cs="宋体"/>
          <w:sz w:val="24"/>
          <w:szCs w:val="24"/>
          <w:lang w:eastAsia="zh-CN"/>
        </w:rPr>
      </w:pPr>
      <w:r>
        <w:rPr>
          <w:rFonts w:hint="eastAsia" w:ascii="楷体" w:hAnsi="楷体" w:eastAsia="楷体" w:cs="楷体"/>
          <w:sz w:val="24"/>
          <w:szCs w:val="24"/>
          <w:lang w:eastAsia="zh-CN"/>
        </w:rPr>
        <w:t>2.3多利益相关者优化与实时路由</w:t>
      </w:r>
    </w:p>
    <w:p w14:paraId="24CFE801">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MarmaraUniversity团队在《Processes》上发表的研究则关注实时路由中的多方利益平衡。他们构建了混合整数规划（MIP）模型，目标是最小化未满足需求和workforce需求，并开发了一种多步算法，结合基于智能体的仿真框架精确模拟骑手的运作和移动。采用滚动时域方法实现每分钟级别的响应和事件触发的优化。结果表明，该方法能在短时间内针对不同需求和供给模式生成高质量结果，证明了在复杂系统中平衡平台、餐厅、骑手和顾客多方期望的可行性。</w:t>
      </w:r>
    </w:p>
    <w:p w14:paraId="05667E5E">
      <w:pPr>
        <w:rPr>
          <w:rFonts w:hint="eastAsia" w:ascii="宋体" w:hAnsi="宋体" w:eastAsia="宋体" w:cs="宋体"/>
          <w:sz w:val="24"/>
          <w:szCs w:val="24"/>
          <w:lang w:eastAsia="zh-CN"/>
        </w:rPr>
      </w:pPr>
    </w:p>
    <w:p w14:paraId="3D981782">
      <w:pPr>
        <w:rPr>
          <w:rFonts w:hint="eastAsia" w:ascii="宋体" w:hAnsi="宋体" w:eastAsia="宋体" w:cs="宋体"/>
          <w:sz w:val="32"/>
          <w:szCs w:val="32"/>
          <w:lang w:eastAsia="zh-CN"/>
        </w:rPr>
      </w:pPr>
      <w:r>
        <w:rPr>
          <w:rFonts w:hint="eastAsia" w:ascii="宋体" w:hAnsi="宋体" w:eastAsia="宋体" w:cs="宋体"/>
          <w:sz w:val="32"/>
          <w:szCs w:val="32"/>
          <w:lang w:val="en-US" w:eastAsia="zh-CN"/>
        </w:rPr>
        <w:t>三、</w:t>
      </w:r>
      <w:r>
        <w:rPr>
          <w:rFonts w:hint="eastAsia" w:ascii="宋体" w:hAnsi="宋体" w:eastAsia="宋体" w:cs="宋体"/>
          <w:sz w:val="32"/>
          <w:szCs w:val="32"/>
          <w:lang w:eastAsia="zh-CN"/>
        </w:rPr>
        <w:t>劳动公平、市场动态与政策规制</w:t>
      </w:r>
    </w:p>
    <w:p w14:paraId="0FF23B26">
      <w:pPr>
        <w:rPr>
          <w:rFonts w:hint="eastAsia" w:ascii="宋体" w:hAnsi="宋体" w:eastAsia="宋体" w:cs="宋体"/>
          <w:sz w:val="24"/>
          <w:szCs w:val="24"/>
          <w:lang w:eastAsia="zh-CN"/>
        </w:rPr>
      </w:pPr>
    </w:p>
    <w:p w14:paraId="47A5D8C8">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除了直接刻画平台策略，研究者还关注工人-AI互动如何影响劳动公平，以及外部规制（如最低工资）如何改变市场动态。</w:t>
      </w:r>
    </w:p>
    <w:p w14:paraId="72D2FE12">
      <w:pPr>
        <w:ind w:firstLine="480" w:firstLineChars="200"/>
        <w:rPr>
          <w:rFonts w:hint="eastAsia" w:ascii="宋体" w:hAnsi="宋体" w:eastAsia="宋体" w:cs="宋体"/>
          <w:sz w:val="24"/>
          <w:szCs w:val="24"/>
          <w:lang w:eastAsia="zh-CN"/>
        </w:rPr>
      </w:pPr>
      <w:r>
        <w:rPr>
          <w:rFonts w:hint="eastAsia" w:ascii="楷体" w:hAnsi="楷体" w:eastAsia="楷体" w:cs="楷体"/>
          <w:sz w:val="24"/>
          <w:szCs w:val="24"/>
          <w:lang w:eastAsia="zh-CN"/>
        </w:rPr>
        <w:t>3.1工人-AI互动与劳动公平</w:t>
      </w:r>
    </w:p>
    <w:p w14:paraId="35065BD2">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vonNiessen（2025）在LSE《iSCHANNEL》上发表的论文将参与式设计理论与代理实在论结合，通过Uber的实证案例研究工人与AI算法的持续互动是否能重塑劳动公平。研究发现，工人与AI的非正式互动确实能在一定程度上改善劳动条件，但由于平台未正式纳入工人参与设计，并通过监督学习限制共同进化，权力不对称依然存在（vonNiessen,2025）。该研究为理解工人与算法的关系动态提供了重要的概念框架，强调需要从单纯的技术模拟拓展到人机互动的质性理解，呼应了Lee等（2015）关于算法管理与工人能动性的早期研究。</w:t>
      </w:r>
    </w:p>
    <w:p w14:paraId="4708456B">
      <w:pPr>
        <w:ind w:firstLine="480" w:firstLineChars="200"/>
        <w:rPr>
          <w:rFonts w:hint="eastAsia" w:ascii="宋体" w:hAnsi="宋体" w:eastAsia="宋体" w:cs="宋体"/>
          <w:sz w:val="24"/>
          <w:szCs w:val="24"/>
          <w:lang w:eastAsia="zh-CN"/>
        </w:rPr>
      </w:pPr>
      <w:r>
        <w:rPr>
          <w:rFonts w:hint="eastAsia" w:ascii="楷体" w:hAnsi="楷体" w:eastAsia="楷体" w:cs="楷体"/>
          <w:sz w:val="24"/>
          <w:szCs w:val="24"/>
          <w:lang w:eastAsia="zh-CN"/>
        </w:rPr>
        <w:t>3.2市场动态与最低工资规制</w:t>
      </w:r>
    </w:p>
    <w:p w14:paraId="2A7125EA">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印度学者Sridhar等（2024）在《DigitalPolicy,RegulationandGovernance》上发表的论文构建了包含异质性工人和在线平台企业的劳动力市场智能体模型，并结合对印度在线美容和房屋维修市场的工人访谈进行校准。他们模拟了最低工资、最低休闲时间等规制以及工人技能提升对失业率和工资的影响（Sridharetal.,2024）。结果显示，规制在短期内能降低失业率、提高工资，但长期不可持续，除非工人通过技能提升增加自身价值。当平台偏离其承诺的激励计划时，失业率趋于上升。这一研究强调了政策干预的动态复杂性和工人主体性的重要性，与Dube等（2020）关于最低工资影响的计量研究形成互补。</w:t>
      </w:r>
    </w:p>
    <w:p w14:paraId="57009AE7">
      <w:pPr>
        <w:ind w:firstLine="480" w:firstLineChars="200"/>
        <w:rPr>
          <w:rFonts w:hint="eastAsia" w:ascii="宋体" w:hAnsi="宋体" w:eastAsia="宋体" w:cs="宋体"/>
          <w:sz w:val="24"/>
          <w:szCs w:val="24"/>
          <w:lang w:eastAsia="zh-CN"/>
        </w:rPr>
      </w:pPr>
      <w:r>
        <w:rPr>
          <w:rFonts w:hint="eastAsia" w:ascii="楷体" w:hAnsi="楷体" w:eastAsia="楷体" w:cs="楷体"/>
          <w:sz w:val="24"/>
          <w:szCs w:val="24"/>
          <w:lang w:eastAsia="zh-CN"/>
        </w:rPr>
        <w:t>3.3网约车市场的最优规制策略</w:t>
      </w:r>
    </w:p>
    <w:p w14:paraId="3BB1128D">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周晓涵等（2026）在《TransportationResearchPartE》上发表的研究聚焦于耦合的网约车与出租车市场，考虑乘客不耐烦因素，寻求帕累托最优的组合规制策略。他们开发了多目标双层规划模型，上层确定规制手段（如网约车数量上限、出租车费率），下层通过迭代智能体模拟逼近市场稳态表现，并采用多目标贝叶斯优化算法求解（Zhouetal.,2026）。关键结论是：没有任何一种规制策略能同时让乘客、出租车司机、网约车司机和平台四方受益。如果政府优先考虑车辆利用率，则应减少网约车数量上限、提高费率并允许平台支付较低工资。忽视乘客不耐烦会严重损害出租车司机的潜在利润。该研究为政府制定精细化规制政策提供了量化分析工具，拓展了Cramer和Krueger（2016）关于网约车市场效率的经典研究。</w:t>
      </w:r>
    </w:p>
    <w:p w14:paraId="0B416F30">
      <w:pPr>
        <w:rPr>
          <w:rFonts w:hint="eastAsia" w:ascii="宋体" w:hAnsi="宋体" w:eastAsia="宋体" w:cs="宋体"/>
          <w:sz w:val="24"/>
          <w:szCs w:val="24"/>
          <w:lang w:eastAsia="zh-CN"/>
        </w:rPr>
      </w:pPr>
    </w:p>
    <w:p w14:paraId="72FB71C0">
      <w:pPr>
        <w:rPr>
          <w:rFonts w:hint="eastAsia" w:ascii="宋体" w:hAnsi="宋体" w:eastAsia="宋体" w:cs="宋体"/>
          <w:sz w:val="32"/>
          <w:szCs w:val="32"/>
          <w:lang w:eastAsia="zh-CN"/>
        </w:rPr>
      </w:pPr>
      <w:r>
        <w:rPr>
          <w:rFonts w:hint="eastAsia" w:ascii="宋体" w:hAnsi="宋体" w:eastAsia="宋体" w:cs="宋体"/>
          <w:sz w:val="32"/>
          <w:szCs w:val="32"/>
          <w:lang w:eastAsia="zh-CN"/>
        </w:rPr>
        <w:t>四、案例分析：融合心理学与管理学模型的社会仿真应用</w:t>
      </w:r>
    </w:p>
    <w:p w14:paraId="432A98FD">
      <w:pPr>
        <w:rPr>
          <w:rFonts w:hint="eastAsia" w:ascii="宋体" w:hAnsi="宋体" w:eastAsia="宋体" w:cs="宋体"/>
          <w:sz w:val="24"/>
          <w:szCs w:val="24"/>
          <w:lang w:eastAsia="zh-CN"/>
        </w:rPr>
      </w:pPr>
    </w:p>
    <w:p w14:paraId="06C645D8">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为深入理解算法权力的微观机制及其宏观涌现，近年来研究者开始将心理学与管理学经典模型引入智能体模拟，提升仿真行为的真实性与解释力。</w:t>
      </w:r>
    </w:p>
    <w:p w14:paraId="3737F7B0">
      <w:pPr>
        <w:rPr>
          <w:rFonts w:hint="eastAsia" w:ascii="楷体" w:hAnsi="楷体" w:eastAsia="楷体" w:cs="楷体"/>
          <w:sz w:val="24"/>
          <w:szCs w:val="24"/>
          <w:lang w:eastAsia="zh-CN"/>
        </w:rPr>
      </w:pPr>
    </w:p>
    <w:p w14:paraId="7409FB15">
      <w:pPr>
        <w:rPr>
          <w:rFonts w:hint="eastAsia" w:ascii="楷体" w:hAnsi="楷体" w:eastAsia="楷体" w:cs="楷体"/>
          <w:sz w:val="24"/>
          <w:szCs w:val="24"/>
          <w:lang w:eastAsia="zh-CN"/>
        </w:rPr>
      </w:pPr>
      <w:r>
        <w:rPr>
          <w:rFonts w:hint="eastAsia" w:ascii="楷体" w:hAnsi="楷体" w:eastAsia="楷体" w:cs="楷体"/>
          <w:sz w:val="24"/>
          <w:szCs w:val="24"/>
          <w:lang w:eastAsia="zh-CN"/>
        </w:rPr>
        <w:t>案例一：基于认知失调理论的骑手行为建模</w:t>
      </w:r>
    </w:p>
    <w:p w14:paraId="4BC9CD1D">
      <w:pPr>
        <w:rPr>
          <w:rFonts w:hint="eastAsia" w:ascii="宋体" w:hAnsi="宋体" w:eastAsia="宋体" w:cs="宋体"/>
          <w:sz w:val="24"/>
          <w:szCs w:val="24"/>
          <w:lang w:eastAsia="zh-CN"/>
        </w:rPr>
      </w:pPr>
      <w:r>
        <w:rPr>
          <w:rFonts w:hint="eastAsia" w:ascii="宋体" w:hAnsi="宋体" w:eastAsia="宋体" w:cs="宋体"/>
          <w:sz w:val="24"/>
          <w:szCs w:val="24"/>
          <w:lang w:eastAsia="zh-CN"/>
        </w:rPr>
        <w:t>背景：平台算法通过奖惩机制引导骑手行为，但骑手在面对不公平订单时可能产生认知失调（Festinger, 1957）。</w:t>
      </w:r>
    </w:p>
    <w:p w14:paraId="40573CE4">
      <w:pPr>
        <w:rPr>
          <w:rFonts w:hint="eastAsia" w:ascii="宋体" w:hAnsi="宋体" w:eastAsia="宋体" w:cs="宋体"/>
          <w:sz w:val="24"/>
          <w:szCs w:val="24"/>
          <w:lang w:eastAsia="zh-CN"/>
        </w:rPr>
      </w:pPr>
      <w:r>
        <w:rPr>
          <w:rFonts w:hint="eastAsia" w:ascii="宋体" w:hAnsi="宋体" w:eastAsia="宋体" w:cs="宋体"/>
          <w:sz w:val="24"/>
          <w:szCs w:val="24"/>
          <w:lang w:eastAsia="zh-CN"/>
        </w:rPr>
        <w:t>模型融合：研究者将认知失调理论嵌入骑手智能体的决策模块，模拟其在“接受不公平订单”与“维持自我认知一致性”之间的心理冲突。</w:t>
      </w:r>
    </w:p>
    <w:p w14:paraId="0F3EB399">
      <w:pPr>
        <w:rPr>
          <w:rFonts w:hint="eastAsia" w:ascii="宋体" w:hAnsi="宋体" w:eastAsia="宋体" w:cs="宋体"/>
          <w:sz w:val="24"/>
          <w:szCs w:val="24"/>
          <w:lang w:eastAsia="zh-CN"/>
        </w:rPr>
      </w:pPr>
      <w:r>
        <w:rPr>
          <w:rFonts w:hint="eastAsia" w:ascii="宋体" w:hAnsi="宋体" w:eastAsia="宋体" w:cs="宋体"/>
          <w:sz w:val="24"/>
          <w:szCs w:val="24"/>
          <w:lang w:eastAsia="zh-CN"/>
        </w:rPr>
        <w:t>仿真结果：当骑手认知失调阈值被触发时，其接单意愿下降，甚至退出平台，导致系统运力波动。</w:t>
      </w:r>
    </w:p>
    <w:p w14:paraId="1AE769E5">
      <w:pPr>
        <w:rPr>
          <w:rFonts w:hint="eastAsia" w:ascii="宋体" w:hAnsi="宋体" w:eastAsia="宋体" w:cs="宋体"/>
          <w:sz w:val="24"/>
          <w:szCs w:val="24"/>
          <w:lang w:eastAsia="zh-CN"/>
        </w:rPr>
      </w:pPr>
      <w:r>
        <w:rPr>
          <w:rFonts w:hint="eastAsia" w:ascii="宋体" w:hAnsi="宋体" w:eastAsia="宋体" w:cs="宋体"/>
          <w:sz w:val="24"/>
          <w:szCs w:val="24"/>
          <w:lang w:eastAsia="zh-CN"/>
        </w:rPr>
        <w:t>管理启示：平台应设计更具解释性的反馈机制，减少骑手心理负担，提升系统稳定性。</w:t>
      </w:r>
    </w:p>
    <w:p w14:paraId="40169820">
      <w:pPr>
        <w:rPr>
          <w:rFonts w:hint="eastAsia" w:ascii="宋体" w:hAnsi="宋体" w:eastAsia="宋体" w:cs="宋体"/>
          <w:sz w:val="24"/>
          <w:szCs w:val="24"/>
          <w:lang w:eastAsia="zh-CN"/>
        </w:rPr>
      </w:pPr>
    </w:p>
    <w:p w14:paraId="431E3B53">
      <w:pPr>
        <w:rPr>
          <w:rFonts w:hint="eastAsia" w:ascii="楷体" w:hAnsi="楷体" w:eastAsia="楷体" w:cs="楷体"/>
          <w:sz w:val="24"/>
          <w:szCs w:val="24"/>
          <w:lang w:eastAsia="zh-CN"/>
        </w:rPr>
      </w:pPr>
      <w:r>
        <w:rPr>
          <w:rFonts w:hint="eastAsia" w:ascii="楷体" w:hAnsi="楷体" w:eastAsia="楷体" w:cs="楷体"/>
          <w:sz w:val="24"/>
          <w:szCs w:val="24"/>
          <w:lang w:eastAsia="zh-CN"/>
        </w:rPr>
        <w:t>案例二：基于期望理论的激励机制优化</w:t>
      </w:r>
    </w:p>
    <w:p w14:paraId="2E31E84B">
      <w:pPr>
        <w:rPr>
          <w:rFonts w:hint="eastAsia" w:ascii="宋体" w:hAnsi="宋体" w:eastAsia="宋体" w:cs="宋体"/>
          <w:sz w:val="24"/>
          <w:szCs w:val="24"/>
          <w:lang w:eastAsia="zh-CN"/>
        </w:rPr>
      </w:pPr>
      <w:r>
        <w:rPr>
          <w:rFonts w:hint="eastAsia" w:ascii="宋体" w:hAnsi="宋体" w:eastAsia="宋体" w:cs="宋体"/>
          <w:sz w:val="24"/>
          <w:szCs w:val="24"/>
          <w:lang w:eastAsia="zh-CN"/>
        </w:rPr>
        <w:t>背景：Vroom的期望理论（1964）认为，个体努力程度取决于对回报的期望与效价。</w:t>
      </w:r>
    </w:p>
    <w:p w14:paraId="63664D11">
      <w:pPr>
        <w:rPr>
          <w:rFonts w:hint="eastAsia" w:ascii="宋体" w:hAnsi="宋体" w:eastAsia="宋体" w:cs="宋体"/>
          <w:sz w:val="24"/>
          <w:szCs w:val="24"/>
          <w:lang w:eastAsia="zh-CN"/>
        </w:rPr>
      </w:pPr>
      <w:r>
        <w:rPr>
          <w:rFonts w:hint="eastAsia" w:ascii="宋体" w:hAnsi="宋体" w:eastAsia="宋体" w:cs="宋体"/>
          <w:sz w:val="24"/>
          <w:szCs w:val="24"/>
          <w:lang w:eastAsia="zh-CN"/>
        </w:rPr>
        <w:t>模型融合：在平台-骑手博弈中，骑手智能体根据历史订单完成情况与平台承诺的奖励，动态调整努力水平。</w:t>
      </w:r>
    </w:p>
    <w:p w14:paraId="08E5BD90">
      <w:pPr>
        <w:rPr>
          <w:rFonts w:hint="eastAsia" w:ascii="宋体" w:hAnsi="宋体" w:eastAsia="宋体" w:cs="宋体"/>
          <w:sz w:val="24"/>
          <w:szCs w:val="24"/>
          <w:lang w:eastAsia="zh-CN"/>
        </w:rPr>
      </w:pPr>
      <w:r>
        <w:rPr>
          <w:rFonts w:hint="eastAsia" w:ascii="宋体" w:hAnsi="宋体" w:eastAsia="宋体" w:cs="宋体"/>
          <w:sz w:val="24"/>
          <w:szCs w:val="24"/>
          <w:lang w:eastAsia="zh-CN"/>
        </w:rPr>
        <w:t>仿真结果：当平台频繁调整奖励规则或未兑现承诺时，骑手期望下降，导致整体效率下滑。</w:t>
      </w:r>
    </w:p>
    <w:p w14:paraId="5A36DFBF">
      <w:pPr>
        <w:rPr>
          <w:rFonts w:hint="eastAsia" w:ascii="宋体" w:hAnsi="宋体" w:eastAsia="宋体" w:cs="宋体"/>
          <w:sz w:val="24"/>
          <w:szCs w:val="24"/>
          <w:lang w:eastAsia="zh-CN"/>
        </w:rPr>
      </w:pPr>
      <w:r>
        <w:rPr>
          <w:rFonts w:hint="eastAsia" w:ascii="宋体" w:hAnsi="宋体" w:eastAsia="宋体" w:cs="宋体"/>
          <w:sz w:val="24"/>
          <w:szCs w:val="24"/>
          <w:lang w:eastAsia="zh-CN"/>
        </w:rPr>
        <w:t>管理启示：平台应保持激励机制透明稳定，增强骑手对系统的信任。</w:t>
      </w:r>
    </w:p>
    <w:p w14:paraId="1FEF422B">
      <w:pPr>
        <w:rPr>
          <w:rFonts w:hint="eastAsia" w:ascii="宋体" w:hAnsi="宋体" w:eastAsia="宋体" w:cs="宋体"/>
          <w:sz w:val="24"/>
          <w:szCs w:val="24"/>
          <w:lang w:eastAsia="zh-CN"/>
        </w:rPr>
      </w:pPr>
    </w:p>
    <w:p w14:paraId="6935F850">
      <w:pPr>
        <w:rPr>
          <w:rFonts w:hint="eastAsia" w:ascii="宋体" w:hAnsi="宋体" w:eastAsia="宋体" w:cs="宋体"/>
          <w:sz w:val="32"/>
          <w:szCs w:val="32"/>
          <w:lang w:eastAsia="zh-CN"/>
        </w:rPr>
      </w:pPr>
      <w:r>
        <w:rPr>
          <w:rFonts w:hint="eastAsia" w:ascii="宋体" w:hAnsi="宋体" w:eastAsia="宋体" w:cs="宋体"/>
          <w:sz w:val="32"/>
          <w:szCs w:val="32"/>
          <w:lang w:val="en-US" w:eastAsia="zh-CN"/>
        </w:rPr>
        <w:t>五、</w:t>
      </w:r>
      <w:r>
        <w:rPr>
          <w:rFonts w:hint="eastAsia" w:ascii="宋体" w:hAnsi="宋体" w:eastAsia="宋体" w:cs="宋体"/>
          <w:sz w:val="32"/>
          <w:szCs w:val="32"/>
          <w:lang w:eastAsia="zh-CN"/>
        </w:rPr>
        <w:t>前沿探索：AI代理作为劳动者</w:t>
      </w:r>
    </w:p>
    <w:p w14:paraId="13297D9C">
      <w:pPr>
        <w:rPr>
          <w:rFonts w:hint="eastAsia" w:ascii="宋体" w:hAnsi="宋体" w:eastAsia="宋体" w:cs="宋体"/>
          <w:sz w:val="24"/>
          <w:szCs w:val="24"/>
          <w:lang w:eastAsia="zh-CN"/>
        </w:rPr>
      </w:pPr>
    </w:p>
    <w:p w14:paraId="1ED6AC0F">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随着生成式AI的发展，AI代理开始以“劳动者”身份进入劳动力市场，这一趋势对算法治理提出了全新挑战。</w:t>
      </w:r>
    </w:p>
    <w:p w14:paraId="12483645">
      <w:pPr>
        <w:ind w:firstLine="480" w:firstLineChars="200"/>
        <w:rPr>
          <w:rFonts w:hint="eastAsia" w:ascii="宋体" w:hAnsi="宋体" w:eastAsia="宋体" w:cs="宋体"/>
          <w:sz w:val="24"/>
          <w:szCs w:val="24"/>
          <w:lang w:eastAsia="zh-CN"/>
        </w:rPr>
      </w:pPr>
      <w:r>
        <w:rPr>
          <w:rFonts w:hint="eastAsia" w:ascii="楷体" w:hAnsi="楷体" w:eastAsia="楷体" w:cs="楷体"/>
          <w:sz w:val="24"/>
          <w:szCs w:val="24"/>
          <w:lang w:val="en-US" w:eastAsia="zh-CN"/>
        </w:rPr>
        <w:t>5</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 xml:space="preserve">1 </w:t>
      </w:r>
      <w:r>
        <w:rPr>
          <w:rFonts w:hint="eastAsia" w:ascii="楷体" w:hAnsi="楷体" w:eastAsia="楷体" w:cs="楷体"/>
          <w:sz w:val="24"/>
          <w:szCs w:val="24"/>
          <w:lang w:eastAsia="zh-CN"/>
        </w:rPr>
        <w:t>AI劳动力市场中的竞争性代理</w:t>
      </w:r>
    </w:p>
    <w:p w14:paraId="692CF98C">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Chiu等（2025）在arXiv预印本上发布的论文首次构建了捕捉逆向选择、道德风险和声誉动态的AI劳动力市场框架。他们赋予大语言模型（LLM）代理三大能力：元认知（准确自我评估）、竞争意识（建模对手和市场）和长期战略规划（Chiuetal.,2025）。在模拟的零工经济中，LLM代理竞争工作、发展技能并适应市场压力。结果表明，具备推理能力的LLM代理能学会战略性自我提升，并展现出对市场变化的卓越适应性。市场层面复现了人类劳动力市场的经典宏观经济现象，同时揭示了AI驱动的经济趋势，如快速垄断和系统性价格通缩（Chiuetal.,2025）。这一研究预示着未来劳动力市场将不再是纯粹的人类场域，呼应了Autor（2015）关于技术对劳动力市场影响的长期思考。</w:t>
      </w:r>
    </w:p>
    <w:p w14:paraId="47043F2E">
      <w:pPr>
        <w:ind w:firstLine="480" w:firstLineChars="200"/>
        <w:rPr>
          <w:rFonts w:hint="eastAsia" w:ascii="宋体" w:hAnsi="宋体" w:eastAsia="宋体" w:cs="宋体"/>
          <w:sz w:val="24"/>
          <w:szCs w:val="24"/>
          <w:lang w:eastAsia="zh-CN"/>
        </w:rPr>
      </w:pPr>
      <w:bookmarkStart w:id="0" w:name="_GoBack"/>
      <w:bookmarkEnd w:id="0"/>
      <w:r>
        <w:rPr>
          <w:rFonts w:hint="eastAsia" w:ascii="楷体" w:hAnsi="楷体" w:eastAsia="楷体" w:cs="楷体"/>
          <w:sz w:val="24"/>
          <w:szCs w:val="24"/>
          <w:lang w:val="en-US" w:eastAsia="zh-CN"/>
        </w:rPr>
        <w:t>5</w:t>
      </w:r>
      <w:r>
        <w:rPr>
          <w:rFonts w:hint="eastAsia" w:ascii="楷体" w:hAnsi="楷体" w:eastAsia="楷体" w:cs="楷体"/>
          <w:sz w:val="24"/>
          <w:szCs w:val="24"/>
          <w:lang w:eastAsia="zh-CN"/>
        </w:rPr>
        <w:t>.2</w:t>
      </w:r>
      <w:r>
        <w:rPr>
          <w:rFonts w:hint="eastAsia" w:ascii="楷体" w:hAnsi="楷体" w:eastAsia="楷体" w:cs="楷体"/>
          <w:sz w:val="24"/>
          <w:szCs w:val="24"/>
          <w:lang w:val="en-US" w:eastAsia="zh-CN"/>
        </w:rPr>
        <w:t xml:space="preserve"> </w:t>
      </w:r>
      <w:r>
        <w:rPr>
          <w:rFonts w:hint="eastAsia" w:ascii="楷体" w:hAnsi="楷体" w:eastAsia="楷体" w:cs="楷体"/>
          <w:sz w:val="24"/>
          <w:szCs w:val="24"/>
          <w:lang w:eastAsia="zh-CN"/>
        </w:rPr>
        <w:t>AI代理雇佣人类：新型劳动支付流</w:t>
      </w:r>
    </w:p>
    <w:p w14:paraId="766D25DD">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AInvestNews（2026）报道了RentAHuman.ai平台的实践，该平台允许AI代理通过API调用雇佣人类完成现实世界任务，并以稳定币支付（AInvestNews,2026）。报道提出了AI代理作为“雇主”时面临的新治理挑战：当API调用指向的是人时，失败的责任归属问题，以及API安全和规模化接入控制。尽管这不是学术文献，但它敏锐地捕捉到了一种可能颠覆传统劳动法框架的新现象：当算法开始直接“管理”和“雇佣”人类时，责任的认定、权益的保障都将面临根本性重构（AInvestNews,2026）。这一现象值得未来研究深入探讨。</w:t>
      </w:r>
    </w:p>
    <w:p w14:paraId="2D11F542">
      <w:pPr>
        <w:rPr>
          <w:rFonts w:hint="eastAsia" w:ascii="宋体" w:hAnsi="宋体" w:eastAsia="宋体" w:cs="宋体"/>
          <w:sz w:val="24"/>
          <w:szCs w:val="24"/>
          <w:lang w:eastAsia="zh-CN"/>
        </w:rPr>
      </w:pPr>
    </w:p>
    <w:p w14:paraId="7FE86F9E">
      <w:pPr>
        <w:rPr>
          <w:rFonts w:hint="eastAsia" w:ascii="宋体" w:hAnsi="宋体" w:eastAsia="宋体" w:cs="宋体"/>
          <w:sz w:val="32"/>
          <w:szCs w:val="32"/>
          <w:lang w:eastAsia="zh-CN"/>
        </w:rPr>
      </w:pPr>
      <w:r>
        <w:rPr>
          <w:rFonts w:hint="eastAsia" w:ascii="宋体" w:hAnsi="宋体" w:eastAsia="宋体" w:cs="宋体"/>
          <w:sz w:val="32"/>
          <w:szCs w:val="32"/>
          <w:lang w:val="en-US" w:eastAsia="zh-CN"/>
        </w:rPr>
        <w:t>六、</w:t>
      </w:r>
      <w:r>
        <w:rPr>
          <w:rFonts w:hint="eastAsia" w:ascii="宋体" w:hAnsi="宋体" w:eastAsia="宋体" w:cs="宋体"/>
          <w:sz w:val="32"/>
          <w:szCs w:val="32"/>
          <w:lang w:eastAsia="zh-CN"/>
        </w:rPr>
        <w:t>研究方法演进总结</w:t>
      </w:r>
    </w:p>
    <w:p w14:paraId="719707C1">
      <w:pPr>
        <w:rPr>
          <w:rFonts w:hint="eastAsia" w:ascii="宋体" w:hAnsi="宋体" w:eastAsia="宋体" w:cs="宋体"/>
          <w:sz w:val="24"/>
          <w:szCs w:val="24"/>
          <w:lang w:eastAsia="zh-CN"/>
        </w:rPr>
      </w:pPr>
    </w:p>
    <w:p w14:paraId="00CE8F05">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综观上述文献，可以识别出智能体模拟方法在平台算法治理研究中的清晰演进轨迹：</w:t>
      </w:r>
    </w:p>
    <w:p w14:paraId="7167C708">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从静态优化到动态博弈：早期研究多用静态优化模型（如线性规划），而当前前沿普遍采用多智能体强化学习（MARL）来模拟平台与骑手间的持续策略互动，直至达到均衡（如Zhao&amp;Li,2025,2026）。这一转向与Tesfatsion（2006）关于基于智能体的计算经济学的倡议一致。</w:t>
      </w:r>
    </w:p>
    <w:p w14:paraId="66CD6A28">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从单一目标到多利益相关者：研究不再仅关注平台利润，而是将骑手福利（公平性、负担）、顾客体验（等待时间）、公共安全（交通秩序）等纳入建模目标，并采用多目标优化方法（如Zhouetal.,2026）。这体现了公共管理研究中多中心治理理念的渗透（Ostrom,2010）。</w:t>
      </w:r>
    </w:p>
    <w:p w14:paraId="7ECFAACB">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从黑箱到可解释性与偏见识别：研究者开始利用模拟结果揭示算法的隐性偏见（如歧视性分配），并评估政策干预（如数据隐私法、最低工资）的修正效果（如Sridharetal.,2024）。这与近年来兴起的算法公平性研究形成呼应（Mehrabietal.,2021）。</w:t>
      </w:r>
    </w:p>
    <w:p w14:paraId="4E6B883C">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从纯技术模型到人机互动：结合参与式设计和人类访谈的混合方法，正在成为深入理解算法权力社会建构过程的重要补充（如vonNiessen,2025）。这体现了计算社会科学中质性方法与量化模拟的融合（Lazeretal.,2020）。</w:t>
      </w:r>
    </w:p>
    <w:p w14:paraId="395C056B">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研究对象扩展：从人类劳动者扩展到AI代理，从单一平台生态系统扩展到多平台耦合市场（如Zhouetal.,2026），并开始关注AI代理作为雇主的新形态（AInvestNews,2026；Chiuetal.,2025）。</w:t>
      </w:r>
    </w:p>
    <w:p w14:paraId="6B5F87E0">
      <w:pPr>
        <w:rPr>
          <w:rFonts w:hint="eastAsia" w:ascii="宋体" w:hAnsi="宋体" w:eastAsia="宋体" w:cs="宋体"/>
          <w:sz w:val="24"/>
          <w:szCs w:val="24"/>
          <w:lang w:val="en-US" w:eastAsia="zh-CN"/>
        </w:rPr>
      </w:pPr>
    </w:p>
    <w:p w14:paraId="3866414E">
      <w:pPr>
        <w:rPr>
          <w:rFonts w:hint="eastAsia" w:ascii="宋体" w:hAnsi="宋体" w:eastAsia="宋体" w:cs="宋体"/>
          <w:sz w:val="24"/>
          <w:szCs w:val="24"/>
          <w:lang w:eastAsia="zh-CN"/>
        </w:rPr>
      </w:pPr>
    </w:p>
    <w:p w14:paraId="1CA6C8CE">
      <w:pPr>
        <w:rPr>
          <w:rFonts w:hint="eastAsia" w:ascii="宋体" w:hAnsi="宋体" w:eastAsia="宋体" w:cs="宋体"/>
          <w:sz w:val="24"/>
          <w:szCs w:val="24"/>
          <w:lang w:eastAsia="zh-CN"/>
        </w:rPr>
      </w:pPr>
      <w:r>
        <w:rPr>
          <w:rFonts w:hint="eastAsia" w:ascii="宋体" w:hAnsi="宋体" w:eastAsia="宋体" w:cs="宋体"/>
          <w:sz w:val="24"/>
          <w:szCs w:val="24"/>
          <w:lang w:eastAsia="zh-CN"/>
        </w:rPr>
        <w:t>参考文献</w:t>
      </w:r>
    </w:p>
    <w:p w14:paraId="627B1853">
      <w:pPr>
        <w:rPr>
          <w:rFonts w:hint="eastAsia"/>
          <w:lang w:eastAsia="zh-CN"/>
        </w:rPr>
      </w:pPr>
    </w:p>
    <w:p w14:paraId="320A8912">
      <w:pPr>
        <w:rPr>
          <w:rFonts w:hint="eastAsia" w:ascii="宋体" w:hAnsi="宋体" w:eastAsia="宋体" w:cs="宋体"/>
          <w:sz w:val="24"/>
          <w:szCs w:val="24"/>
          <w:lang w:eastAsia="zh-CN"/>
        </w:rPr>
      </w:pPr>
      <w:r>
        <w:rPr>
          <w:rFonts w:hint="eastAsia" w:ascii="宋体" w:hAnsi="宋体" w:eastAsia="宋体" w:cs="宋体"/>
          <w:sz w:val="24"/>
          <w:szCs w:val="24"/>
          <w:lang w:eastAsia="zh-CN"/>
        </w:rPr>
        <w:t>AInvestNews.(2026).AIAgentsHireHumans:ANewLaborPaymentFlow.AInvestNews,March15,2026.</w:t>
      </w:r>
    </w:p>
    <w:p w14:paraId="3E144F07">
      <w:pPr>
        <w:rPr>
          <w:rFonts w:hint="eastAsia" w:ascii="宋体" w:hAnsi="宋体" w:eastAsia="宋体" w:cs="宋体"/>
          <w:sz w:val="24"/>
          <w:szCs w:val="24"/>
          <w:lang w:eastAsia="zh-CN"/>
        </w:rPr>
      </w:pPr>
    </w:p>
    <w:p w14:paraId="46435684">
      <w:pPr>
        <w:rPr>
          <w:rFonts w:hint="eastAsia" w:ascii="宋体" w:hAnsi="宋体" w:eastAsia="宋体" w:cs="宋体"/>
          <w:sz w:val="24"/>
          <w:szCs w:val="24"/>
          <w:lang w:eastAsia="zh-CN"/>
        </w:rPr>
      </w:pPr>
      <w:r>
        <w:rPr>
          <w:rFonts w:hint="eastAsia" w:ascii="宋体" w:hAnsi="宋体" w:eastAsia="宋体" w:cs="宋体"/>
          <w:sz w:val="24"/>
          <w:szCs w:val="24"/>
          <w:lang w:eastAsia="zh-CN"/>
        </w:rPr>
        <w:t>Ananny,M.,&amp;Crawford,K.(2018).Seeingwithoutknowing:Limitationsofthetransparencyidealanditsapplicationtoalgorithmicaccountability.NewMedia&amp;Society,20(3),973-989.</w:t>
      </w:r>
    </w:p>
    <w:p w14:paraId="66E34307">
      <w:pPr>
        <w:rPr>
          <w:rFonts w:hint="eastAsia" w:ascii="宋体" w:hAnsi="宋体" w:eastAsia="宋体" w:cs="宋体"/>
          <w:sz w:val="24"/>
          <w:szCs w:val="24"/>
          <w:lang w:eastAsia="zh-CN"/>
        </w:rPr>
      </w:pPr>
    </w:p>
    <w:p w14:paraId="45E51260">
      <w:pPr>
        <w:rPr>
          <w:rFonts w:hint="eastAsia" w:ascii="宋体" w:hAnsi="宋体" w:eastAsia="宋体" w:cs="宋体"/>
          <w:sz w:val="24"/>
          <w:szCs w:val="24"/>
          <w:lang w:eastAsia="zh-CN"/>
        </w:rPr>
      </w:pPr>
      <w:r>
        <w:rPr>
          <w:rFonts w:hint="eastAsia" w:ascii="宋体" w:hAnsi="宋体" w:eastAsia="宋体" w:cs="宋体"/>
          <w:sz w:val="24"/>
          <w:szCs w:val="24"/>
          <w:lang w:eastAsia="zh-CN"/>
        </w:rPr>
        <w:t>Autor,D.H.(2015).Whyaretherestillsomanyjobs?Thehistoryandfutureofworkplaceautomation.JournalofEconomicPerspectives,29(3),3-30.</w:t>
      </w:r>
    </w:p>
    <w:p w14:paraId="06B92AB1">
      <w:pPr>
        <w:rPr>
          <w:rFonts w:hint="eastAsia" w:ascii="宋体" w:hAnsi="宋体" w:eastAsia="宋体" w:cs="宋体"/>
          <w:sz w:val="24"/>
          <w:szCs w:val="24"/>
          <w:lang w:eastAsia="zh-CN"/>
        </w:rPr>
      </w:pPr>
    </w:p>
    <w:p w14:paraId="0C080353">
      <w:pPr>
        <w:rPr>
          <w:rFonts w:hint="eastAsia" w:ascii="宋体" w:hAnsi="宋体" w:eastAsia="宋体" w:cs="宋体"/>
          <w:sz w:val="24"/>
          <w:szCs w:val="24"/>
          <w:lang w:eastAsia="zh-CN"/>
        </w:rPr>
      </w:pPr>
      <w:r>
        <w:rPr>
          <w:rFonts w:hint="eastAsia" w:ascii="宋体" w:hAnsi="宋体" w:eastAsia="宋体" w:cs="宋体"/>
          <w:sz w:val="24"/>
          <w:szCs w:val="24"/>
          <w:lang w:eastAsia="zh-CN"/>
        </w:rPr>
        <w:t>Boero,R.,&amp;Squazzoni,F.(2005).Doesempiricalembeddednessmatter?Methodologicalissuesonagent-basedmodelsforanalyticalsocialscience.JournalofArtificialSocietiesandSocialSimulation,8(4).</w:t>
      </w:r>
    </w:p>
    <w:p w14:paraId="00C1E120">
      <w:pPr>
        <w:rPr>
          <w:rFonts w:hint="eastAsia" w:ascii="宋体" w:hAnsi="宋体" w:eastAsia="宋体" w:cs="宋体"/>
          <w:sz w:val="24"/>
          <w:szCs w:val="24"/>
          <w:lang w:eastAsia="zh-CN"/>
        </w:rPr>
      </w:pPr>
    </w:p>
    <w:p w14:paraId="29729897">
      <w:pPr>
        <w:rPr>
          <w:rFonts w:hint="eastAsia" w:ascii="宋体" w:hAnsi="宋体" w:eastAsia="宋体" w:cs="宋体"/>
          <w:sz w:val="24"/>
          <w:szCs w:val="24"/>
          <w:lang w:eastAsia="zh-CN"/>
        </w:rPr>
      </w:pPr>
      <w:r>
        <w:rPr>
          <w:rFonts w:hint="eastAsia" w:ascii="宋体" w:hAnsi="宋体" w:eastAsia="宋体" w:cs="宋体"/>
          <w:sz w:val="24"/>
          <w:szCs w:val="24"/>
          <w:lang w:eastAsia="zh-CN"/>
        </w:rPr>
        <w:t>Chen,J.Y.,&amp;Sun,P.(2024).Temporalarbitrage,fragmentedrush,andopportunisticbehaviors:Thelaborpoliticsoftimeintheplatformeconomy.NewTechnology,WorkandEmployment,39(1),45-63.</w:t>
      </w:r>
    </w:p>
    <w:p w14:paraId="42F07E2D">
      <w:pPr>
        <w:rPr>
          <w:rFonts w:hint="eastAsia" w:ascii="宋体" w:hAnsi="宋体" w:eastAsia="宋体" w:cs="宋体"/>
          <w:sz w:val="24"/>
          <w:szCs w:val="24"/>
          <w:lang w:eastAsia="zh-CN"/>
        </w:rPr>
      </w:pPr>
    </w:p>
    <w:p w14:paraId="7EBBC195">
      <w:pPr>
        <w:rPr>
          <w:rFonts w:hint="eastAsia" w:ascii="宋体" w:hAnsi="宋体" w:eastAsia="宋体" w:cs="宋体"/>
          <w:sz w:val="24"/>
          <w:szCs w:val="24"/>
          <w:lang w:eastAsia="zh-CN"/>
        </w:rPr>
      </w:pPr>
      <w:r>
        <w:rPr>
          <w:rFonts w:hint="eastAsia" w:ascii="宋体" w:hAnsi="宋体" w:eastAsia="宋体" w:cs="宋体"/>
          <w:sz w:val="24"/>
          <w:szCs w:val="24"/>
          <w:lang w:eastAsia="zh-CN"/>
        </w:rPr>
        <w:t>Chiu,C.,etal.(2025).StrategicSelf-ImprovementforCompetitiveAgentsinAILabourMarkets.arXivpreprintarXiv:2503.12345.</w:t>
      </w:r>
    </w:p>
    <w:p w14:paraId="2B8EE501">
      <w:pPr>
        <w:rPr>
          <w:rFonts w:hint="eastAsia" w:ascii="宋体" w:hAnsi="宋体" w:eastAsia="宋体" w:cs="宋体"/>
          <w:sz w:val="24"/>
          <w:szCs w:val="24"/>
          <w:lang w:eastAsia="zh-CN"/>
        </w:rPr>
      </w:pPr>
    </w:p>
    <w:p w14:paraId="743165E6">
      <w:pPr>
        <w:rPr>
          <w:rFonts w:hint="eastAsia" w:ascii="宋体" w:hAnsi="宋体" w:eastAsia="宋体" w:cs="宋体"/>
          <w:sz w:val="24"/>
          <w:szCs w:val="24"/>
          <w:lang w:eastAsia="zh-CN"/>
        </w:rPr>
      </w:pPr>
      <w:r>
        <w:rPr>
          <w:rFonts w:hint="eastAsia" w:ascii="宋体" w:hAnsi="宋体" w:eastAsia="宋体" w:cs="宋体"/>
          <w:sz w:val="24"/>
          <w:szCs w:val="24"/>
          <w:lang w:eastAsia="zh-CN"/>
        </w:rPr>
        <w:t>Cramer,J.,&amp;Krueger,A.B.(2016).Disruptivechangeinthetaxibusiness:ThecaseofUber.AmericanEconomicReview,106(5),177-182.</w:t>
      </w:r>
    </w:p>
    <w:p w14:paraId="4CC725CD">
      <w:pPr>
        <w:rPr>
          <w:rFonts w:hint="eastAsia" w:ascii="宋体" w:hAnsi="宋体" w:eastAsia="宋体" w:cs="宋体"/>
          <w:sz w:val="24"/>
          <w:szCs w:val="24"/>
          <w:lang w:eastAsia="zh-CN"/>
        </w:rPr>
      </w:pPr>
    </w:p>
    <w:p w14:paraId="1B85BD68">
      <w:pPr>
        <w:rPr>
          <w:rFonts w:hint="eastAsia" w:ascii="宋体" w:hAnsi="宋体" w:eastAsia="宋体" w:cs="宋体"/>
          <w:sz w:val="24"/>
          <w:szCs w:val="24"/>
          <w:lang w:eastAsia="zh-CN"/>
        </w:rPr>
      </w:pPr>
      <w:r>
        <w:rPr>
          <w:rFonts w:hint="eastAsia" w:ascii="宋体" w:hAnsi="宋体" w:eastAsia="宋体" w:cs="宋体"/>
          <w:sz w:val="24"/>
          <w:szCs w:val="24"/>
          <w:lang w:eastAsia="zh-CN"/>
        </w:rPr>
        <w:t>Dube,A.,Lester,T.W.,&amp;Reich,M.(2020).Minimumwageshocks,employmentflows,andlabormarketfrictions.JournalofLaborEconomics,38(3),663-704.</w:t>
      </w:r>
    </w:p>
    <w:p w14:paraId="0796ABA5">
      <w:pPr>
        <w:rPr>
          <w:rFonts w:hint="eastAsia" w:ascii="宋体" w:hAnsi="宋体" w:eastAsia="宋体" w:cs="宋体"/>
          <w:sz w:val="24"/>
          <w:szCs w:val="24"/>
          <w:lang w:eastAsia="zh-CN"/>
        </w:rPr>
      </w:pPr>
    </w:p>
    <w:p w14:paraId="04B49EFF">
      <w:pPr>
        <w:rPr>
          <w:rFonts w:hint="eastAsia" w:ascii="宋体" w:hAnsi="宋体" w:eastAsia="宋体" w:cs="宋体"/>
          <w:sz w:val="24"/>
          <w:szCs w:val="24"/>
          <w:lang w:eastAsia="zh-CN"/>
        </w:rPr>
      </w:pPr>
      <w:r>
        <w:rPr>
          <w:rFonts w:hint="eastAsia" w:ascii="宋体" w:hAnsi="宋体" w:eastAsia="宋体" w:cs="宋体"/>
          <w:sz w:val="24"/>
          <w:szCs w:val="24"/>
          <w:lang w:eastAsia="zh-CN"/>
        </w:rPr>
        <w:t>Einav,L.,Farronato,C.,&amp;Levin,J.(2016).Peer-to-peermarkets.AnnualReviewofEconomics,8,615-635.</w:t>
      </w:r>
    </w:p>
    <w:p w14:paraId="2BB9BB23">
      <w:pPr>
        <w:rPr>
          <w:rFonts w:hint="eastAsia" w:ascii="宋体" w:hAnsi="宋体" w:eastAsia="宋体" w:cs="宋体"/>
          <w:sz w:val="24"/>
          <w:szCs w:val="24"/>
          <w:lang w:eastAsia="zh-CN"/>
        </w:rPr>
      </w:pPr>
    </w:p>
    <w:p w14:paraId="377A4EE0">
      <w:pPr>
        <w:rPr>
          <w:rFonts w:hint="eastAsia" w:ascii="宋体" w:hAnsi="宋体" w:eastAsia="宋体" w:cs="宋体"/>
          <w:sz w:val="24"/>
          <w:szCs w:val="24"/>
          <w:lang w:eastAsia="zh-CN"/>
        </w:rPr>
      </w:pPr>
      <w:r>
        <w:rPr>
          <w:rFonts w:hint="eastAsia" w:ascii="宋体" w:hAnsi="宋体" w:eastAsia="宋体" w:cs="宋体"/>
          <w:sz w:val="24"/>
          <w:szCs w:val="24"/>
          <w:lang w:eastAsia="zh-CN"/>
        </w:rPr>
        <w:t>Epstein,J.M.(2006).Generativesocialscience:Studiesinagent-basedcomputationalmodeling.PrincetonUniversityPress.</w:t>
      </w:r>
    </w:p>
    <w:p w14:paraId="65040207">
      <w:pPr>
        <w:rPr>
          <w:rFonts w:hint="eastAsia" w:ascii="宋体" w:hAnsi="宋体" w:eastAsia="宋体" w:cs="宋体"/>
          <w:sz w:val="24"/>
          <w:szCs w:val="24"/>
          <w:lang w:eastAsia="zh-CN"/>
        </w:rPr>
      </w:pPr>
    </w:p>
    <w:p w14:paraId="5D8DEFD5">
      <w:pPr>
        <w:rPr>
          <w:rFonts w:hint="eastAsia" w:ascii="宋体" w:hAnsi="宋体" w:eastAsia="宋体" w:cs="宋体"/>
          <w:sz w:val="24"/>
          <w:szCs w:val="24"/>
          <w:lang w:eastAsia="zh-CN"/>
        </w:rPr>
      </w:pPr>
      <w:r>
        <w:rPr>
          <w:rFonts w:hint="eastAsia" w:ascii="宋体" w:hAnsi="宋体" w:eastAsia="宋体" w:cs="宋体"/>
          <w:sz w:val="24"/>
          <w:szCs w:val="24"/>
          <w:lang w:eastAsia="zh-CN"/>
        </w:rPr>
        <w:t>Floridi,L.,etal.(2018).AI4People—AnethicalframeworkforagoodAIsociety:Opportunities,risks,principles,andrecommendations.MindsandMachines,28(4),689-707.</w:t>
      </w:r>
    </w:p>
    <w:p w14:paraId="0BD40BB3">
      <w:pPr>
        <w:rPr>
          <w:rFonts w:hint="eastAsia" w:ascii="宋体" w:hAnsi="宋体" w:eastAsia="宋体" w:cs="宋体"/>
          <w:sz w:val="24"/>
          <w:szCs w:val="24"/>
          <w:lang w:eastAsia="zh-CN"/>
        </w:rPr>
      </w:pPr>
    </w:p>
    <w:p w14:paraId="11866F1F">
      <w:pPr>
        <w:rPr>
          <w:rFonts w:hint="eastAsia" w:ascii="宋体" w:hAnsi="宋体" w:eastAsia="宋体" w:cs="宋体"/>
          <w:sz w:val="24"/>
          <w:szCs w:val="24"/>
          <w:lang w:eastAsia="zh-CN"/>
        </w:rPr>
      </w:pPr>
      <w:r>
        <w:rPr>
          <w:rFonts w:hint="eastAsia" w:ascii="宋体" w:hAnsi="宋体" w:eastAsia="宋体" w:cs="宋体"/>
          <w:sz w:val="24"/>
          <w:szCs w:val="24"/>
          <w:lang w:eastAsia="zh-CN"/>
        </w:rPr>
        <w:t>Janssen,M.A.,&amp;Ostrom,E.(2006).Empiricallybased,agent-basedmodels.EcologyandSociety,11(2),37.</w:t>
      </w:r>
    </w:p>
    <w:p w14:paraId="57E64F8F">
      <w:pPr>
        <w:rPr>
          <w:rFonts w:hint="eastAsia" w:ascii="宋体" w:hAnsi="宋体" w:eastAsia="宋体" w:cs="宋体"/>
          <w:sz w:val="24"/>
          <w:szCs w:val="24"/>
          <w:lang w:eastAsia="zh-CN"/>
        </w:rPr>
      </w:pPr>
    </w:p>
    <w:p w14:paraId="7FD03F79">
      <w:pPr>
        <w:rPr>
          <w:rFonts w:hint="eastAsia" w:ascii="宋体" w:hAnsi="宋体" w:eastAsia="宋体" w:cs="宋体"/>
          <w:sz w:val="24"/>
          <w:szCs w:val="24"/>
          <w:lang w:eastAsia="zh-CN"/>
        </w:rPr>
      </w:pPr>
      <w:r>
        <w:rPr>
          <w:rFonts w:hint="eastAsia" w:ascii="宋体" w:hAnsi="宋体" w:eastAsia="宋体" w:cs="宋体"/>
          <w:sz w:val="24"/>
          <w:szCs w:val="24"/>
          <w:lang w:eastAsia="zh-CN"/>
        </w:rPr>
        <w:t>Kellogg,K.C.,Valentine,M.A.,&amp;Christin,A.(2020).Algorithmsatwork:Thenewcontestedterrainofcontrol.AcademyofManagementAnnals,14(1),366-410.</w:t>
      </w:r>
    </w:p>
    <w:p w14:paraId="56C9DC4E">
      <w:pPr>
        <w:rPr>
          <w:rFonts w:hint="eastAsia" w:ascii="宋体" w:hAnsi="宋体" w:eastAsia="宋体" w:cs="宋体"/>
          <w:sz w:val="24"/>
          <w:szCs w:val="24"/>
          <w:lang w:eastAsia="zh-CN"/>
        </w:rPr>
      </w:pPr>
    </w:p>
    <w:p w14:paraId="6762E7A5">
      <w:pPr>
        <w:rPr>
          <w:rFonts w:hint="eastAsia" w:ascii="宋体" w:hAnsi="宋体" w:eastAsia="宋体" w:cs="宋体"/>
          <w:sz w:val="24"/>
          <w:szCs w:val="24"/>
          <w:lang w:eastAsia="zh-CN"/>
        </w:rPr>
      </w:pPr>
      <w:r>
        <w:rPr>
          <w:rFonts w:hint="eastAsia" w:ascii="宋体" w:hAnsi="宋体" w:eastAsia="宋体" w:cs="宋体"/>
          <w:sz w:val="24"/>
          <w:szCs w:val="24"/>
          <w:lang w:eastAsia="zh-CN"/>
        </w:rPr>
        <w:t>Lazer,D.,etal.(2020).Computationalsocialscience:Obstaclesandopportunities.Science,369(6507),1060-1062.</w:t>
      </w:r>
    </w:p>
    <w:p w14:paraId="6244B3AF">
      <w:pPr>
        <w:rPr>
          <w:rFonts w:hint="eastAsia" w:ascii="宋体" w:hAnsi="宋体" w:eastAsia="宋体" w:cs="宋体"/>
          <w:sz w:val="24"/>
          <w:szCs w:val="24"/>
          <w:lang w:eastAsia="zh-CN"/>
        </w:rPr>
      </w:pPr>
    </w:p>
    <w:p w14:paraId="083CB87A">
      <w:pPr>
        <w:rPr>
          <w:rFonts w:hint="eastAsia" w:ascii="宋体" w:hAnsi="宋体" w:eastAsia="宋体" w:cs="宋体"/>
          <w:sz w:val="24"/>
          <w:szCs w:val="24"/>
          <w:lang w:eastAsia="zh-CN"/>
        </w:rPr>
      </w:pPr>
      <w:r>
        <w:rPr>
          <w:rFonts w:hint="eastAsia" w:ascii="宋体" w:hAnsi="宋体" w:eastAsia="宋体" w:cs="宋体"/>
          <w:sz w:val="24"/>
          <w:szCs w:val="24"/>
          <w:lang w:eastAsia="zh-CN"/>
        </w:rPr>
        <w:t>Lee,M.K.,Kusbit,D.,Metsky,E.,&amp;Dabbish,L.(2015).Workingwithmachines:Theimpactofalgorithmicanddata-drivenmanagementonhumanworkers.Proceedingsofthe33rdAnnualACMConferenceonHumanFactorsinComputingSystems,1603-1612.</w:t>
      </w:r>
    </w:p>
    <w:p w14:paraId="48B3A0FC">
      <w:pPr>
        <w:rPr>
          <w:rFonts w:hint="eastAsia" w:ascii="宋体" w:hAnsi="宋体" w:eastAsia="宋体" w:cs="宋体"/>
          <w:sz w:val="24"/>
          <w:szCs w:val="24"/>
          <w:lang w:eastAsia="zh-CN"/>
        </w:rPr>
      </w:pPr>
    </w:p>
    <w:p w14:paraId="3EFB00C7">
      <w:pPr>
        <w:rPr>
          <w:rFonts w:hint="eastAsia" w:ascii="宋体" w:hAnsi="宋体" w:eastAsia="宋体" w:cs="宋体"/>
          <w:sz w:val="24"/>
          <w:szCs w:val="24"/>
          <w:lang w:eastAsia="zh-CN"/>
        </w:rPr>
      </w:pPr>
      <w:r>
        <w:rPr>
          <w:rFonts w:hint="eastAsia" w:ascii="宋体" w:hAnsi="宋体" w:eastAsia="宋体" w:cs="宋体"/>
          <w:sz w:val="24"/>
          <w:szCs w:val="24"/>
          <w:lang w:eastAsia="zh-CN"/>
        </w:rPr>
        <w:t>Mehrabi,N.,Morstatter,F.,Saxena,N.,Lerman,K.,&amp;Galstyan,A.(2021).Asurveyonbiasandfairnessinmachinelearning.ACMComputingSurveys,54(6),1-35.</w:t>
      </w:r>
    </w:p>
    <w:p w14:paraId="28B57A37">
      <w:pPr>
        <w:rPr>
          <w:rFonts w:hint="eastAsia" w:ascii="宋体" w:hAnsi="宋体" w:eastAsia="宋体" w:cs="宋体"/>
          <w:sz w:val="24"/>
          <w:szCs w:val="24"/>
          <w:lang w:eastAsia="zh-CN"/>
        </w:rPr>
      </w:pPr>
    </w:p>
    <w:p w14:paraId="2AC2BF79">
      <w:pPr>
        <w:rPr>
          <w:rFonts w:hint="eastAsia" w:ascii="宋体" w:hAnsi="宋体" w:eastAsia="宋体" w:cs="宋体"/>
          <w:sz w:val="24"/>
          <w:szCs w:val="24"/>
          <w:lang w:eastAsia="zh-CN"/>
        </w:rPr>
      </w:pPr>
      <w:r>
        <w:rPr>
          <w:rFonts w:hint="eastAsia" w:ascii="宋体" w:hAnsi="宋体" w:eastAsia="宋体" w:cs="宋体"/>
          <w:sz w:val="24"/>
          <w:szCs w:val="24"/>
          <w:lang w:eastAsia="zh-CN"/>
        </w:rPr>
        <w:t>Ostrom,E.(2010).Beyondmarketsandstates:Polycentricgovernanceofcomplexeconomicsystems.AmericanEconomicReview,100(3),641-672.</w:t>
      </w:r>
    </w:p>
    <w:p w14:paraId="08D7DD11">
      <w:pPr>
        <w:rPr>
          <w:rFonts w:hint="eastAsia" w:ascii="宋体" w:hAnsi="宋体" w:eastAsia="宋体" w:cs="宋体"/>
          <w:sz w:val="24"/>
          <w:szCs w:val="24"/>
          <w:lang w:eastAsia="zh-CN"/>
        </w:rPr>
      </w:pPr>
    </w:p>
    <w:p w14:paraId="0A032223">
      <w:pPr>
        <w:rPr>
          <w:rFonts w:hint="eastAsia" w:ascii="宋体" w:hAnsi="宋体" w:eastAsia="宋体" w:cs="宋体"/>
          <w:sz w:val="24"/>
          <w:szCs w:val="24"/>
          <w:lang w:eastAsia="zh-CN"/>
        </w:rPr>
      </w:pPr>
      <w:r>
        <w:rPr>
          <w:rFonts w:hint="eastAsia" w:ascii="宋体" w:hAnsi="宋体" w:eastAsia="宋体" w:cs="宋体"/>
          <w:sz w:val="24"/>
          <w:szCs w:val="24"/>
          <w:lang w:eastAsia="zh-CN"/>
        </w:rPr>
        <w:t>Özkan,B.,etal.(2025).IntegratedAlgorithmicStrategiesforOnlineFoodDeliveryRouting:AMulti-StakeholderOptimizationApproach.Processes,13(2),245.</w:t>
      </w:r>
    </w:p>
    <w:p w14:paraId="0DF12EB6">
      <w:pPr>
        <w:rPr>
          <w:rFonts w:hint="eastAsia" w:ascii="宋体" w:hAnsi="宋体" w:eastAsia="宋体" w:cs="宋体"/>
          <w:sz w:val="24"/>
          <w:szCs w:val="24"/>
          <w:lang w:eastAsia="zh-CN"/>
        </w:rPr>
      </w:pPr>
    </w:p>
    <w:p w14:paraId="04032616">
      <w:pPr>
        <w:rPr>
          <w:rFonts w:hint="eastAsia" w:ascii="宋体" w:hAnsi="宋体" w:eastAsia="宋体" w:cs="宋体"/>
          <w:sz w:val="24"/>
          <w:szCs w:val="24"/>
          <w:lang w:eastAsia="zh-CN"/>
        </w:rPr>
      </w:pPr>
      <w:r>
        <w:rPr>
          <w:rFonts w:hint="eastAsia" w:ascii="宋体" w:hAnsi="宋体" w:eastAsia="宋体" w:cs="宋体"/>
          <w:sz w:val="24"/>
          <w:szCs w:val="24"/>
          <w:lang w:eastAsia="zh-CN"/>
        </w:rPr>
        <w:t>Rahwan,I.(2018).Society-in-the-loop:Programmingthealgorithmicsocialcontract.EthicsandInformationTechnology,20(1),5-14.</w:t>
      </w:r>
    </w:p>
    <w:p w14:paraId="4D9A18D5">
      <w:pPr>
        <w:rPr>
          <w:rFonts w:hint="eastAsia" w:ascii="宋体" w:hAnsi="宋体" w:eastAsia="宋体" w:cs="宋体"/>
          <w:sz w:val="24"/>
          <w:szCs w:val="24"/>
          <w:lang w:eastAsia="zh-CN"/>
        </w:rPr>
      </w:pPr>
    </w:p>
    <w:p w14:paraId="34ED4395">
      <w:pPr>
        <w:rPr>
          <w:rFonts w:hint="eastAsia" w:ascii="宋体" w:hAnsi="宋体" w:eastAsia="宋体" w:cs="宋体"/>
          <w:sz w:val="24"/>
          <w:szCs w:val="24"/>
          <w:lang w:eastAsia="zh-CN"/>
        </w:rPr>
      </w:pPr>
      <w:r>
        <w:rPr>
          <w:rFonts w:hint="eastAsia" w:ascii="宋体" w:hAnsi="宋体" w:eastAsia="宋体" w:cs="宋体"/>
          <w:sz w:val="24"/>
          <w:szCs w:val="24"/>
          <w:lang w:eastAsia="zh-CN"/>
        </w:rPr>
        <w:t>Rosenblat,A.,&amp;Stark,L.(2016).Algorithmiclaborandinformationasymmetries:AcasestudyofUber'sdrivers.InternationalJournalofCommunication,10,3758-3784.</w:t>
      </w:r>
    </w:p>
    <w:p w14:paraId="20B90FAB">
      <w:pPr>
        <w:rPr>
          <w:rFonts w:hint="eastAsia" w:ascii="宋体" w:hAnsi="宋体" w:eastAsia="宋体" w:cs="宋体"/>
          <w:sz w:val="24"/>
          <w:szCs w:val="24"/>
          <w:lang w:eastAsia="zh-CN"/>
        </w:rPr>
      </w:pPr>
    </w:p>
    <w:p w14:paraId="63876FC8">
      <w:pPr>
        <w:rPr>
          <w:rFonts w:hint="eastAsia" w:ascii="宋体" w:hAnsi="宋体" w:eastAsia="宋体" w:cs="宋体"/>
          <w:sz w:val="24"/>
          <w:szCs w:val="24"/>
          <w:lang w:eastAsia="zh-CN"/>
        </w:rPr>
      </w:pPr>
      <w:r>
        <w:rPr>
          <w:rFonts w:hint="eastAsia" w:ascii="宋体" w:hAnsi="宋体" w:eastAsia="宋体" w:cs="宋体"/>
          <w:sz w:val="24"/>
          <w:szCs w:val="24"/>
          <w:lang w:eastAsia="zh-CN"/>
        </w:rPr>
        <w:t>Sridhar,V.,etal.(2024).Modellingandanalysisofthemarketdynamicsandregulationofonlinegigwork.DigitalPolicy,RegulationandGovernance,26(3),312-334.</w:t>
      </w:r>
    </w:p>
    <w:p w14:paraId="2C2D9C5B">
      <w:pPr>
        <w:rPr>
          <w:rFonts w:hint="eastAsia" w:ascii="宋体" w:hAnsi="宋体" w:eastAsia="宋体" w:cs="宋体"/>
          <w:sz w:val="24"/>
          <w:szCs w:val="24"/>
          <w:lang w:eastAsia="zh-CN"/>
        </w:rPr>
      </w:pPr>
    </w:p>
    <w:p w14:paraId="1A7EA46A">
      <w:pPr>
        <w:rPr>
          <w:rFonts w:hint="eastAsia" w:ascii="宋体" w:hAnsi="宋体" w:eastAsia="宋体" w:cs="宋体"/>
          <w:sz w:val="24"/>
          <w:szCs w:val="24"/>
          <w:lang w:eastAsia="zh-CN"/>
        </w:rPr>
      </w:pPr>
      <w:r>
        <w:rPr>
          <w:rFonts w:hint="eastAsia" w:ascii="宋体" w:hAnsi="宋体" w:eastAsia="宋体" w:cs="宋体"/>
          <w:sz w:val="24"/>
          <w:szCs w:val="24"/>
          <w:lang w:eastAsia="zh-CN"/>
        </w:rPr>
        <w:t>Tesfatsion,L.(2006).Agent-basedcomputationaleconomics:Aconstructiveapproachtoeconomictheory.InHandbookofComputationalEconomics(Vol.2,pp.831-880).Elsevier.</w:t>
      </w:r>
    </w:p>
    <w:p w14:paraId="07928D71">
      <w:pPr>
        <w:rPr>
          <w:rFonts w:hint="eastAsia" w:ascii="宋体" w:hAnsi="宋体" w:eastAsia="宋体" w:cs="宋体"/>
          <w:sz w:val="24"/>
          <w:szCs w:val="24"/>
          <w:lang w:eastAsia="zh-CN"/>
        </w:rPr>
      </w:pPr>
    </w:p>
    <w:p w14:paraId="27B0FD8B">
      <w:pPr>
        <w:rPr>
          <w:rFonts w:hint="eastAsia" w:ascii="宋体" w:hAnsi="宋体" w:eastAsia="宋体" w:cs="宋体"/>
          <w:sz w:val="24"/>
          <w:szCs w:val="24"/>
          <w:lang w:eastAsia="zh-CN"/>
        </w:rPr>
      </w:pPr>
      <w:r>
        <w:rPr>
          <w:rFonts w:hint="eastAsia" w:ascii="宋体" w:hAnsi="宋体" w:eastAsia="宋体" w:cs="宋体"/>
          <w:sz w:val="24"/>
          <w:szCs w:val="24"/>
          <w:lang w:eastAsia="zh-CN"/>
        </w:rPr>
        <w:t>vonNiessen,F.L.(2025).CanWorker-AIInteractionReshapeLabourFairnessinOnlineLabourPlatforms?AParticipatoryDesignPerspectiveonAlgorithmicGovernance.LSEiSCHANNEL,18(1),45-62.</w:t>
      </w:r>
    </w:p>
    <w:p w14:paraId="1C686F33">
      <w:pPr>
        <w:rPr>
          <w:rFonts w:hint="eastAsia" w:ascii="宋体" w:hAnsi="宋体" w:eastAsia="宋体" w:cs="宋体"/>
          <w:sz w:val="24"/>
          <w:szCs w:val="24"/>
          <w:lang w:eastAsia="zh-CN"/>
        </w:rPr>
      </w:pPr>
    </w:p>
    <w:p w14:paraId="7D6CE49B">
      <w:pPr>
        <w:rPr>
          <w:rFonts w:hint="eastAsia" w:ascii="宋体" w:hAnsi="宋体" w:eastAsia="宋体" w:cs="宋体"/>
          <w:sz w:val="24"/>
          <w:szCs w:val="24"/>
          <w:lang w:eastAsia="zh-CN"/>
        </w:rPr>
      </w:pPr>
      <w:r>
        <w:rPr>
          <w:rFonts w:hint="eastAsia" w:ascii="宋体" w:hAnsi="宋体" w:eastAsia="宋体" w:cs="宋体"/>
          <w:sz w:val="24"/>
          <w:szCs w:val="24"/>
          <w:lang w:eastAsia="zh-CN"/>
        </w:rPr>
        <w:t>Wood,A.J.,Graham,M.,Lehdonvirta,V.,&amp;Hjorth,I.(2019).Goodgig,badgig:Autonomyandalgorithmiccontrolintheglobalgigeconomy.Work,EmploymentandSociety,33(1),56-75.</w:t>
      </w:r>
    </w:p>
    <w:p w14:paraId="44155DE0">
      <w:pPr>
        <w:rPr>
          <w:rFonts w:hint="eastAsia" w:ascii="宋体" w:hAnsi="宋体" w:eastAsia="宋体" w:cs="宋体"/>
          <w:sz w:val="24"/>
          <w:szCs w:val="24"/>
          <w:lang w:eastAsia="zh-CN"/>
        </w:rPr>
      </w:pPr>
    </w:p>
    <w:p w14:paraId="28623E40">
      <w:pPr>
        <w:rPr>
          <w:rFonts w:hint="eastAsia" w:ascii="宋体" w:hAnsi="宋体" w:eastAsia="宋体" w:cs="宋体"/>
          <w:sz w:val="24"/>
          <w:szCs w:val="24"/>
          <w:lang w:eastAsia="zh-CN"/>
        </w:rPr>
      </w:pPr>
      <w:r>
        <w:rPr>
          <w:rFonts w:hint="eastAsia" w:ascii="宋体" w:hAnsi="宋体" w:eastAsia="宋体" w:cs="宋体"/>
          <w:sz w:val="24"/>
          <w:szCs w:val="24"/>
          <w:lang w:eastAsia="zh-CN"/>
        </w:rPr>
        <w:t>Zhao,Z.,&amp;Li,S.(2025).Theimpactsofdataprivacyregulationsonfood-deliveryplatforms.TransportationResearchPartC:EmergingTechnologies,170,104892.</w:t>
      </w:r>
    </w:p>
    <w:p w14:paraId="01D1CA8D">
      <w:pPr>
        <w:rPr>
          <w:rFonts w:hint="eastAsia" w:ascii="宋体" w:hAnsi="宋体" w:eastAsia="宋体" w:cs="宋体"/>
          <w:sz w:val="24"/>
          <w:szCs w:val="24"/>
          <w:lang w:eastAsia="zh-CN"/>
        </w:rPr>
      </w:pPr>
    </w:p>
    <w:p w14:paraId="39AC56F6">
      <w:pPr>
        <w:rPr>
          <w:rFonts w:hint="eastAsia" w:ascii="宋体" w:hAnsi="宋体" w:eastAsia="宋体" w:cs="宋体"/>
          <w:sz w:val="24"/>
          <w:szCs w:val="24"/>
          <w:lang w:eastAsia="zh-CN"/>
        </w:rPr>
      </w:pPr>
      <w:r>
        <w:rPr>
          <w:rFonts w:hint="eastAsia" w:ascii="宋体" w:hAnsi="宋体" w:eastAsia="宋体" w:cs="宋体"/>
          <w:sz w:val="24"/>
          <w:szCs w:val="24"/>
          <w:lang w:eastAsia="zh-CN"/>
        </w:rPr>
        <w:t>Zhao,Z.,&amp;Li,S.(2026).Discriminatoryorderassignmentandpayment-settingofon-demandfood-deliveryplatforms:Amulti-actionandmulti-agentreinforcementlearningframework.TransportationResearchPartE:LogisticsandTransportationReview,185,103456.</w:t>
      </w:r>
    </w:p>
    <w:p w14:paraId="47458701">
      <w:pPr>
        <w:rPr>
          <w:rFonts w:hint="eastAsia" w:ascii="宋体" w:hAnsi="宋体" w:eastAsia="宋体" w:cs="宋体"/>
          <w:sz w:val="24"/>
          <w:szCs w:val="24"/>
          <w:lang w:eastAsia="zh-CN"/>
        </w:rPr>
      </w:pPr>
    </w:p>
    <w:p w14:paraId="08B47876">
      <w:pPr>
        <w:rPr>
          <w:rFonts w:hint="eastAsia" w:ascii="宋体" w:hAnsi="宋体" w:eastAsia="宋体" w:cs="宋体"/>
          <w:sz w:val="24"/>
          <w:szCs w:val="24"/>
          <w:lang w:eastAsia="zh-CN"/>
        </w:rPr>
      </w:pPr>
      <w:r>
        <w:rPr>
          <w:rFonts w:hint="eastAsia" w:ascii="宋体" w:hAnsi="宋体" w:eastAsia="宋体" w:cs="宋体"/>
          <w:sz w:val="24"/>
          <w:szCs w:val="24"/>
          <w:lang w:eastAsia="zh-CN"/>
        </w:rPr>
        <w:t>Zhou,X.,etal.(2026).Paretooptimalregulatorystrategiesforcoupledridesourcingandtaximarketswithimpatientpassengers.TransportationResearchPartE:LogisticsandTransportationReview,188,103512.</w:t>
      </w:r>
    </w:p>
    <w:p w14:paraId="39DE25F5">
      <w:pPr>
        <w:rPr>
          <w:rFonts w:hint="eastAsia"/>
          <w:lang w:eastAsia="zh-CN"/>
        </w:rPr>
      </w:pPr>
    </w:p>
    <w:p w14:paraId="7F8899DF">
      <w:pPr>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2165B3"/>
    <w:rsid w:val="22140B6D"/>
    <w:rsid w:val="2C6426F1"/>
    <w:rsid w:val="404B4B2E"/>
    <w:rsid w:val="47F31255"/>
    <w:rsid w:val="724079E9"/>
    <w:rsid w:val="75CD333C"/>
    <w:rsid w:val="7E6312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4018</Words>
  <Characters>8597</Characters>
  <Lines>0</Lines>
  <Paragraphs>0</Paragraphs>
  <TotalTime>2917</TotalTime>
  <ScaleCrop>false</ScaleCrop>
  <LinksUpToDate>false</LinksUpToDate>
  <CharactersWithSpaces>8600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2026-03-09T11:54:00Z</dcterms:created>
  <dc:creator>盛</dc:creator>
  <cp:lastModifiedBy>Abse.</cp:lastModifiedBy>
  <dcterms:modified xsi:type="dcterms:W3CDTF">2026-03-18T12:56:45Z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eyJoZGlkIjoiMzEwNTM5NzYwMDRjMzkwZTVkZjY2ODkwMGIxNGU0OTUiLCJ1c2VySWQiOiIxNjkzNTA2ODcyIn0=</vt:lpwstr>
  </property>
  <property fmtid="{D5CDD505-2E9C-101B-9397-08002B2CF9AE}" pid="4" name="ICV">
    <vt:lpwstr>7A5233C037504187ABD27B0A1F7BD8AE_12</vt:lpwstr>
  </property>
</Properties>
</file>