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D645E5">
      <w:pPr>
        <w:keepNext w:val="0"/>
        <w:keepLines w:val="0"/>
        <w:pageBreakBefore w:val="0"/>
        <w:widowControl w:val="0"/>
        <w:kinsoku/>
        <w:wordWrap/>
        <w:overflowPunct/>
        <w:topLinePunct w:val="0"/>
        <w:autoSpaceDE/>
        <w:autoSpaceDN/>
        <w:bidi w:val="0"/>
        <w:adjustRightInd/>
        <w:snapToGrid/>
        <w:spacing w:before="157" w:beforeLines="50" w:line="360" w:lineRule="auto"/>
        <w:jc w:val="center"/>
        <w:textAlignment w:val="auto"/>
        <w:rPr>
          <w:rFonts w:hint="eastAsia" w:ascii="黑体" w:hAnsi="黑体" w:eastAsia="黑体" w:cs="黑体"/>
          <w:b/>
          <w:bCs/>
          <w:sz w:val="32"/>
          <w:szCs w:val="32"/>
        </w:rPr>
      </w:pPr>
      <w:r>
        <w:rPr>
          <w:rFonts w:hint="eastAsia" w:ascii="黑体" w:hAnsi="黑体" w:eastAsia="黑体" w:cs="黑体"/>
          <w:b/>
          <w:bCs/>
          <w:sz w:val="32"/>
          <w:szCs w:val="32"/>
        </w:rPr>
        <w:t>代理建模赋能交通与能源低碳转型：</w:t>
      </w:r>
    </w:p>
    <w:p w14:paraId="7CB1B688">
      <w:pPr>
        <w:keepNext w:val="0"/>
        <w:keepLines w:val="0"/>
        <w:pageBreakBefore w:val="0"/>
        <w:widowControl w:val="0"/>
        <w:kinsoku/>
        <w:wordWrap/>
        <w:overflowPunct/>
        <w:topLinePunct w:val="0"/>
        <w:autoSpaceDE/>
        <w:autoSpaceDN/>
        <w:bidi w:val="0"/>
        <w:adjustRightInd/>
        <w:snapToGrid/>
        <w:spacing w:before="157" w:beforeLines="50" w:line="360" w:lineRule="auto"/>
        <w:jc w:val="center"/>
        <w:textAlignment w:val="auto"/>
        <w:rPr>
          <w:rFonts w:hint="eastAsia" w:ascii="宋体" w:hAnsi="宋体" w:eastAsia="宋体" w:cs="宋体"/>
          <w:sz w:val="32"/>
          <w:szCs w:val="32"/>
        </w:rPr>
      </w:pPr>
      <w:r>
        <w:rPr>
          <w:rFonts w:hint="eastAsia" w:ascii="黑体" w:hAnsi="黑体" w:eastAsia="黑体" w:cs="黑体"/>
          <w:b/>
          <w:bCs/>
          <w:sz w:val="32"/>
          <w:szCs w:val="32"/>
        </w:rPr>
        <w:t>应用场景、价值与展望</w:t>
      </w:r>
    </w:p>
    <w:p w14:paraId="6688676A">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黑体" w:hAnsi="黑体" w:eastAsia="黑体" w:cs="黑体"/>
          <w:sz w:val="30"/>
          <w:szCs w:val="30"/>
        </w:rPr>
      </w:pPr>
      <w:r>
        <w:rPr>
          <w:rFonts w:hint="eastAsia" w:ascii="黑体" w:hAnsi="黑体" w:eastAsia="黑体" w:cs="黑体"/>
          <w:sz w:val="30"/>
          <w:szCs w:val="30"/>
        </w:rPr>
        <w:t>一、引言</w:t>
      </w:r>
      <w:bookmarkStart w:id="0" w:name="_GoBack"/>
      <w:bookmarkEnd w:id="0"/>
    </w:p>
    <w:p w14:paraId="33181926">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全球气候变化背景下，交通与能源系统的低碳转型已成为实现碳中和目标的核心议题。交通部门占全球最终能源消费的25%，其中95%依赖化石燃料，其碳排放占全球温室气体排放总量的15%左右（IPCC，2022）；而能源系统的深度脱碳则涉及技术迭代、经济利益、社会行为等多重复杂因素的动态博弈，传统宏观优化模型往往难以精准捕捉个体决策对系统整体的连锁影响。</w:t>
      </w:r>
    </w:p>
    <w:p w14:paraId="7A7C3F5F">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代理建模（Agent-BasedModeling,ABM）作为一种“自下而上”的模拟方法，通过构建具有独立决策能力、多样化偏好和适应性行为的个体“代理”，能够真实再现复杂系统中个体选择与宏观趋势之间的关联，为解析交通与能源系统的转型路径提供了独特视角（Giarola等，2022）。与传统模型相比，ABM的核心优势在于能够刻画异质性主体的差异化选择、模拟主体间的动态互动，并支持政策情景的精细化设计与效果评估（Zhang等，2015）。</w:t>
      </w:r>
    </w:p>
    <w:p w14:paraId="04386E98">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近年来，ABM方法在交通流优化、城市交通规划、能源技术扩散等领域得到广泛应用。本文立足交通与能源系统转型的现实需求，聚焦微观交通优化、城市交通规划、难减排部门脱碳、发展中国家转型四大核心场景，结合20篇关键文献，系统梳理ABM方法的应用逻辑、核心价值与实践启示，兼顾内容的可读性与知识的系统性，为相关领域的研究与政策制定提供参考。</w:t>
      </w:r>
    </w:p>
    <w:p w14:paraId="1E512C89">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黑体" w:hAnsi="黑体" w:eastAsia="黑体" w:cs="黑体"/>
          <w:sz w:val="30"/>
          <w:szCs w:val="30"/>
        </w:rPr>
      </w:pPr>
      <w:r>
        <w:rPr>
          <w:rFonts w:hint="eastAsia" w:ascii="黑体" w:hAnsi="黑体" w:eastAsia="黑体" w:cs="黑体"/>
          <w:sz w:val="30"/>
          <w:szCs w:val="30"/>
        </w:rPr>
        <w:t>二、代理建模的核心逻辑与应用价值</w:t>
      </w:r>
    </w:p>
    <w:p w14:paraId="4751D391">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b/>
          <w:bCs/>
          <w:sz w:val="28"/>
          <w:szCs w:val="28"/>
        </w:rPr>
      </w:pPr>
      <w:r>
        <w:rPr>
          <w:rFonts w:hint="eastAsia" w:ascii="宋体" w:hAnsi="宋体" w:eastAsia="宋体" w:cs="宋体"/>
          <w:b/>
          <w:bCs/>
          <w:sz w:val="28"/>
          <w:szCs w:val="28"/>
        </w:rPr>
        <w:t>（一）核心建模逻辑</w:t>
      </w:r>
    </w:p>
    <w:p w14:paraId="6AE20B28">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ABM的本质是通过模拟个体代理的行为决策与互动过程，揭示复杂系统的宏观演化规律。其核心建模逻辑包含三个关键环节：</w:t>
      </w:r>
    </w:p>
    <w:p w14:paraId="5FE1727D">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代理定义与异质性刻画</w:t>
      </w:r>
      <w:r>
        <w:rPr>
          <w:rFonts w:hint="eastAsia" w:ascii="宋体" w:hAnsi="宋体" w:eastAsia="宋体" w:cs="宋体"/>
          <w:sz w:val="28"/>
          <w:szCs w:val="28"/>
        </w:rPr>
        <w:t>：将系统中的决策主体（如驾驶员、运输企业、车辆所有者）抽象为“代理”，并根据年龄、职业、风险偏好、经济状况等特征划分不同类型。例如，驾驶员可分为激进型、普通型和谨慎型，车辆所有者可分为私人车主与企业车主（Sun等，2024；Yakhshilikov等，2025）。这种分类打破了传统模型“同质化主体”的假设，更贴合现实世界的决策差异。</w:t>
      </w:r>
    </w:p>
    <w:p w14:paraId="0F435983">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决策规则与效用函数构建</w:t>
      </w:r>
      <w:r>
        <w:rPr>
          <w:rFonts w:hint="eastAsia" w:ascii="宋体" w:hAnsi="宋体" w:eastAsia="宋体" w:cs="宋体"/>
          <w:sz w:val="28"/>
          <w:szCs w:val="28"/>
        </w:rPr>
        <w:t>：为不同类型的代理设定决策规则，通常以“效用最大化”为核心，整合经济成本、环境效益、行为习惯等多重因素。例如，企业车主更关注长期运营成本，私人车主更看重初始购置价格；部分代理会因习惯或偏好固定选择某种行为，另一部分则根据实际情况灵活调整（Khanra等，2024）。</w:t>
      </w:r>
    </w:p>
    <w:p w14:paraId="2F135084">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环境设定与动态互动模拟</w:t>
      </w:r>
      <w:r>
        <w:rPr>
          <w:rFonts w:hint="eastAsia" w:ascii="宋体" w:hAnsi="宋体" w:eastAsia="宋体" w:cs="宋体"/>
          <w:sz w:val="28"/>
          <w:szCs w:val="28"/>
        </w:rPr>
        <w:t>：搭建模拟的外部环境（如道路网络、能源市场、政策框架），设定代理间的互动规则（如交通流中的跟驰换道、市场中的技术竞争），通过迭代模拟再现系统的动态演化过程，如交通拥堵的形成与缓解、低碳技术的扩散路径等（Jafari等，2025）。</w:t>
      </w:r>
    </w:p>
    <w:p w14:paraId="66D3CFBF">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b/>
          <w:bCs/>
          <w:sz w:val="28"/>
          <w:szCs w:val="28"/>
        </w:rPr>
      </w:pPr>
      <w:r>
        <w:rPr>
          <w:rFonts w:hint="eastAsia" w:ascii="宋体" w:hAnsi="宋体" w:eastAsia="宋体" w:cs="宋体"/>
          <w:b/>
          <w:bCs/>
          <w:sz w:val="28"/>
          <w:szCs w:val="28"/>
        </w:rPr>
        <w:t>（二）在交通与能源领域的应用价值</w:t>
      </w:r>
    </w:p>
    <w:p w14:paraId="2282847D">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ABM方法之所以在交通与能源系统研究中备受青睐，核心在于其能够解决传统模型难以应对的三大挑战：</w:t>
      </w:r>
    </w:p>
    <w:p w14:paraId="62A651F5">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破解“个体-宏观”衔接难题</w:t>
      </w:r>
      <w:r>
        <w:rPr>
          <w:rFonts w:hint="eastAsia" w:ascii="宋体" w:hAnsi="宋体" w:eastAsia="宋体" w:cs="宋体"/>
          <w:sz w:val="28"/>
          <w:szCs w:val="28"/>
        </w:rPr>
        <w:t>：传统宏观模型往往忽略个体行为差异，而微观模型难以上升到系统层面。ABM通过“自下而上”的逻辑，实现了个体决策与宏观趋势的有机衔接，例如能够精准模拟不同类型驾驶员的换道行为如何影响整体交通流量（Sun等，2024）。</w:t>
      </w:r>
    </w:p>
    <w:p w14:paraId="658A44AB">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支持政策情景的精细化评估</w:t>
      </w:r>
      <w:r>
        <w:rPr>
          <w:rFonts w:hint="eastAsia" w:ascii="宋体" w:hAnsi="宋体" w:eastAsia="宋体" w:cs="宋体"/>
          <w:sz w:val="28"/>
          <w:szCs w:val="28"/>
        </w:rPr>
        <w:t>：能够通过调整模型参数设置不同政策情景，如碳定价、购车补贴、交通引导等，量化评估不同政策的实施效果，为政策制定者提供直观参考，例如分析补贴政策对电动汽车推广的影响（Yakhshilikov等，2025）。</w:t>
      </w:r>
    </w:p>
    <w:p w14:paraId="0817A468">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捕捉技术扩散的非线性特征</w:t>
      </w:r>
      <w:r>
        <w:rPr>
          <w:rFonts w:hint="eastAsia" w:ascii="宋体" w:hAnsi="宋体" w:eastAsia="宋体" w:cs="宋体"/>
          <w:sz w:val="28"/>
          <w:szCs w:val="28"/>
        </w:rPr>
        <w:t>：低碳技术的扩散往往呈现“S型曲线”，受个体决策、同伴影响、基础设施等多重因素制约。ABM能够通过设定采纳约束（如私人车主对新技术的观望态度），真实模拟这一过程（Zhang等，2011）。</w:t>
      </w:r>
    </w:p>
    <w:p w14:paraId="1A7DCEFC">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黑体" w:hAnsi="黑体" w:eastAsia="黑体" w:cs="黑体"/>
          <w:sz w:val="30"/>
          <w:szCs w:val="30"/>
        </w:rPr>
      </w:pPr>
      <w:r>
        <w:rPr>
          <w:rFonts w:hint="eastAsia" w:ascii="黑体" w:hAnsi="黑体" w:eastAsia="黑体" w:cs="黑体"/>
          <w:sz w:val="30"/>
          <w:szCs w:val="30"/>
        </w:rPr>
        <w:t>三、ABM在交通与能源低碳转型中的核心应用场景</w:t>
      </w:r>
    </w:p>
    <w:p w14:paraId="2E3EB314">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b/>
          <w:bCs/>
          <w:sz w:val="28"/>
          <w:szCs w:val="28"/>
        </w:rPr>
      </w:pPr>
      <w:r>
        <w:rPr>
          <w:rFonts w:hint="eastAsia" w:ascii="宋体" w:hAnsi="宋体" w:eastAsia="宋体" w:cs="宋体"/>
          <w:b/>
          <w:bCs/>
          <w:sz w:val="28"/>
          <w:szCs w:val="28"/>
        </w:rPr>
        <w:t>（一）微观交通优化：提升通行效率与缓解拥堵</w:t>
      </w:r>
    </w:p>
    <w:p w14:paraId="529E7CBB">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城市道路中的特殊车辆（如洒水车、道路养护车）以低速匀速行驶，长期占用车道，极易引发后方交通拥堵，而驾驶员对交通引导信息的响应存在显著差异（Yu等，2021）。这一问题不仅影响通行效率，还会增加燃油消耗与碳排放。针对这一痛点，相关研究借助ABM方法实现了微观交通流的精准优化。</w:t>
      </w:r>
    </w:p>
    <w:p w14:paraId="2986170C">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研究的核心创新在于设计“引导区-交通引导建议”（GZ-TGS）体系：以特殊车辆为中心划定引导区，交通管理中心通过车路通信技术向进入引导区的社会车辆发送换道建议。为刻画驾驶员的差异化响应，研究将驾驶员分为激进型、普通型和谨慎型三类，结合Dogit模型区分“受制选择”（因习惯固定行为）与“自由选择”（根据效用优化决策）（Gaudry等，1979）。效用函数综合考虑行驶速度和安全距离，激进型驾驶员更注重速度提升，谨慎型更关注安全，普通型则寻求平衡。</w:t>
      </w:r>
    </w:p>
    <w:p w14:paraId="0E5553A9">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数值模拟结果显示，在交通占有率0.1-0.4的范围内，交通引导建议能使拥堵车道后方车辆的平均速度提升5%-30%，断面交通量增加约5%，特殊车辆前方未充分利用车道的交通密度提升至原有水平的200%（Sun等，2024）。这一实践证实，通过精准刻画驾驶员行为异质性，ABM能够有效优化交通流配置，在提升通行效率的同时减少碳排放，为智能交通系统的实际部署提供了可行方案。</w:t>
      </w:r>
    </w:p>
    <w:p w14:paraId="1249F558">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b/>
          <w:bCs/>
          <w:sz w:val="28"/>
          <w:szCs w:val="28"/>
        </w:rPr>
      </w:pPr>
      <w:r>
        <w:rPr>
          <w:rFonts w:hint="eastAsia" w:ascii="宋体" w:hAnsi="宋体" w:eastAsia="宋体" w:cs="宋体"/>
          <w:b/>
          <w:bCs/>
          <w:sz w:val="28"/>
          <w:szCs w:val="28"/>
        </w:rPr>
        <w:t>（二）城市交通规划：多模式系统的协同与适配</w:t>
      </w:r>
    </w:p>
    <w:p w14:paraId="2EB9257D">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随着城市化进程加速，城市交通系统已形成私家车、公共交通、步行、骑行等多模式共存的格局，传统单一模式模型难以满足复杂的规划需求（Rasouli等，2014）。如何实现不同交通模式的协同适配，提升系统整体运行效率，成为城市交通规划的关键议题。ABM方法通过构建多模式交通模拟模型，为这一问题提供了有效解决方案。</w:t>
      </w:r>
    </w:p>
    <w:p w14:paraId="2983A943">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以墨尔本多模式活动-代理交通模型（AToM）为例，其构建过程分为三个关键步骤：首先，基于公开的道路和公交数据构建交通网络，为适应步行、骑行等慢行需求，将过长路段合理拆分，确保代理能够便捷进入网络；其次，通过聚类分析创建合成人口及其出行日志，涵盖家、工作、教育等五类目的地，贴合真实城市的出行特征（Both等，2021）；最后，基于出行调查数据估计模型参数，通过迭代优化使模拟的出行方式分担率与实际数据高度匹配。</w:t>
      </w:r>
    </w:p>
    <w:p w14:paraId="1F1B4552">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验证结果显示，模拟的早晚高峰道路交通量与实际观测的误差低于25%，公共交通客流量的区域分布与实际情况吻合较好（Jafari等，2025）。该模型的开源特性尤为重要，当前城市交通模型普遍面临数据获取难、可复现性差等问题，AToM整合开源工具和公共数据，为城市交通政策评估提供了高效、透明的工具，可广泛应用于公交线网优化、慢行系统规划等场景。</w:t>
      </w:r>
    </w:p>
    <w:p w14:paraId="691B9DE8">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b/>
          <w:bCs/>
          <w:sz w:val="28"/>
          <w:szCs w:val="28"/>
        </w:rPr>
      </w:pPr>
      <w:r>
        <w:rPr>
          <w:rFonts w:hint="eastAsia" w:ascii="宋体" w:hAnsi="宋体" w:eastAsia="宋体" w:cs="宋体"/>
          <w:b/>
          <w:bCs/>
          <w:sz w:val="28"/>
          <w:szCs w:val="28"/>
        </w:rPr>
        <w:t>（三）难减排部门脱碳：航空与航海的技术转型路径</w:t>
      </w:r>
    </w:p>
    <w:p w14:paraId="675A1822">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航空与航海部门因技术特性和运营需求，成为全球脱碳的“硬骨头”：航空部门占交通领域碳排放的12%，且随着出行需求增长仍呈上升趋势；航海部门依赖化石燃料，占全球温室气体排放的2.8%，若不采取有效措施，2035年后碳排放可能增长50%（Fourthgreenhousegasstudy，2020）。如何规划低碳技术的扩散路径，平衡减排效果与能源需求，成为该领域的核心挑战。ABM方法通过模拟企业的技术选择行为，为这一问题提供了量化分析框架。</w:t>
      </w:r>
    </w:p>
    <w:p w14:paraId="41197BFE">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相关研究覆盖多家航空公司和航运企业，定义了丰富的低碳技术选项，如航空领域的氢燃料飞机、可持续航空燃料（SAFs），航海领域的双燃料LNG船舶、甲醇燃料船舶等。模型中的航空公司和航运公司作为决策代理，其技术选择基于经济效用（如成本、投资回报周期）和环境效用（如CO₂减排效益）的加权求和（Khanra等，2024）。</w:t>
      </w:r>
    </w:p>
    <w:p w14:paraId="7667E287">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研究设计了经济驱动和环境加速两类情景：经济驱动情景中，代理仅关注经济成本；环境加速情景中，大型运营商优先考虑环境效益。模拟结果显示，在环境加速情景下，2050年航空部门CO₂排放较基准情景减少82%，航海部门减少15%，但需大幅提升电力需求以支撑氢燃料和合成燃料生产（Khanra等，2024）。这一研究表明，ABM能够有效模拟复杂技术扩散过程，为难减排部门的脱碳规划提供量化依据，助力相关政策的精准设计。</w:t>
      </w:r>
    </w:p>
    <w:p w14:paraId="109DD6C6">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b/>
          <w:bCs/>
          <w:sz w:val="28"/>
          <w:szCs w:val="28"/>
        </w:rPr>
      </w:pPr>
      <w:r>
        <w:rPr>
          <w:rFonts w:hint="eastAsia" w:ascii="宋体" w:hAnsi="宋体" w:eastAsia="宋体" w:cs="宋体"/>
          <w:b/>
          <w:bCs/>
          <w:sz w:val="28"/>
          <w:szCs w:val="28"/>
        </w:rPr>
        <w:t>（四）发展中国家转型：平衡增长与减排的实践探索</w:t>
      </w:r>
    </w:p>
    <w:p w14:paraId="1CA843C9">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对于发展中国家而言，道路运输脱碳面临经济发展与环境保护的双重挑战：一方面，交通需求随经济增长持续上升；另一方面，化石燃料依赖度高，低碳技术推广受资金、基础设施等约束（WorldBank，2019）。如何在保障经济发展的同时推进脱碳进程，成为发展中国家面临的独特难题。ABM方法通过贴合当地实际的模型设计，为发展中国家的转型实践提供了参考。</w:t>
      </w:r>
    </w:p>
    <w:p w14:paraId="6F76F882">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以乌兹别克斯坦道路运输能源转型研究为例，模型的核心设计体现在三个方面：一是区分私人车主和企业车主两类代理，私人车主更关注初始购置成本，企业车主更看重长期运营效益；二是涵盖24种动力技术，包括传统化石燃料、混合动力、电动、氢燃料等，技术参数结合该国经济水平调整；三是设置精细化的技术采纳约束，如私人车主仅投资市场渗透率超过5%的技术，反映对新技术的观望态度（Yakhshilikov等，2025）。</w:t>
      </w:r>
    </w:p>
    <w:p w14:paraId="123A3E76">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研究构建了基准、转型、减缓、脱碳四类情景，模拟结果显示，若无政策干预，2050年该国道路运输碳排放将超过41MtCO₂eq/年，化石燃料仍占主导；仅当碳定价、购车补贴与环保行为相结合时，才能实现零尾气排放，此时需消耗79.4PJ电力和145.8PJ氢气（Yakhshilikov等，2025）。这一结果表明，发展中国家的交通脱碳需要技术、政策、行为的协同推进，ABM能够为其量身定制转型路径。</w:t>
      </w:r>
    </w:p>
    <w:p w14:paraId="3F344F6A">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黑体" w:hAnsi="黑体" w:eastAsia="黑体" w:cs="黑体"/>
          <w:sz w:val="30"/>
          <w:szCs w:val="30"/>
        </w:rPr>
      </w:pPr>
      <w:r>
        <w:rPr>
          <w:rFonts w:hint="eastAsia" w:ascii="黑体" w:hAnsi="黑体" w:eastAsia="黑体" w:cs="黑体"/>
          <w:sz w:val="30"/>
          <w:szCs w:val="30"/>
        </w:rPr>
        <w:t>四、研究共识、局限与未来方向</w:t>
      </w:r>
    </w:p>
    <w:p w14:paraId="6D0E8010">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b/>
          <w:bCs/>
          <w:sz w:val="28"/>
          <w:szCs w:val="28"/>
        </w:rPr>
      </w:pPr>
      <w:r>
        <w:rPr>
          <w:rFonts w:hint="eastAsia" w:ascii="宋体" w:hAnsi="宋体" w:eastAsia="宋体" w:cs="宋体"/>
          <w:b/>
          <w:bCs/>
          <w:sz w:val="28"/>
          <w:szCs w:val="28"/>
        </w:rPr>
        <w:t>（一）方法论共识</w:t>
      </w:r>
    </w:p>
    <w:p w14:paraId="40762230">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尽管应用场景各异，但ABM在交通与能源领域的研究呈现出鲜明的共同趋势，反映了其发展方向：</w:t>
      </w:r>
    </w:p>
    <w:p w14:paraId="5C5289F1">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异质性主体成为核心刻画对象</w:t>
      </w:r>
      <w:r>
        <w:rPr>
          <w:rFonts w:hint="eastAsia" w:ascii="宋体" w:hAnsi="宋体" w:eastAsia="宋体" w:cs="宋体"/>
          <w:sz w:val="28"/>
          <w:szCs w:val="28"/>
        </w:rPr>
        <w:t>：不再将决策主体视为同质化群体，而是根据行为特征、经济状况、决策目标等进行分类，如驾驶员按驾驶风格分类、车主按身份分类，显著提升了模型的现实解释力（Zhang等，2015）。</w:t>
      </w:r>
    </w:p>
    <w:p w14:paraId="1B534532">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多维度效用函数替代单一经济理性</w:t>
      </w:r>
      <w:r>
        <w:rPr>
          <w:rFonts w:hint="eastAsia" w:ascii="宋体" w:hAnsi="宋体" w:eastAsia="宋体" w:cs="宋体"/>
          <w:sz w:val="28"/>
          <w:szCs w:val="28"/>
        </w:rPr>
        <w:t>：决策依据从单纯的经济成本最小化，拓展为经济、环境、行为习惯等多维度效用的综合考量，更全面地捕捉了主体的决策动机（Verplanken等，1999）。</w:t>
      </w:r>
    </w:p>
    <w:p w14:paraId="25659DF6">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数据驱动的校准成为标准实践</w:t>
      </w:r>
      <w:r>
        <w:rPr>
          <w:rFonts w:hint="eastAsia" w:ascii="宋体" w:hAnsi="宋体" w:eastAsia="宋体" w:cs="宋体"/>
          <w:sz w:val="28"/>
          <w:szCs w:val="28"/>
        </w:rPr>
        <w:t>：均基于大规模实证数据构建模型，如交通调查数据、机队船队数据、市场统计数据等，确保了模型的真实性和可靠性（Hadjidimitriou等，2022）。</w:t>
      </w:r>
    </w:p>
    <w:p w14:paraId="1EBE1E9B">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采纳约束贴近技术扩散现实</w:t>
      </w:r>
      <w:r>
        <w:rPr>
          <w:rFonts w:hint="eastAsia" w:ascii="宋体" w:hAnsi="宋体" w:eastAsia="宋体" w:cs="宋体"/>
          <w:sz w:val="28"/>
          <w:szCs w:val="28"/>
        </w:rPr>
        <w:t>：通过设置行为惯性、市场成熟度等约束，模拟技术扩散的“S型曲线”，避免了不切实际的快速技术更替（Rao等，2010）。</w:t>
      </w:r>
    </w:p>
    <w:p w14:paraId="1609E542">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b/>
          <w:bCs/>
          <w:sz w:val="28"/>
          <w:szCs w:val="28"/>
        </w:rPr>
      </w:pPr>
      <w:r>
        <w:rPr>
          <w:rFonts w:hint="eastAsia" w:ascii="宋体" w:hAnsi="宋体" w:eastAsia="宋体" w:cs="宋体"/>
          <w:b/>
          <w:bCs/>
          <w:sz w:val="28"/>
          <w:szCs w:val="28"/>
        </w:rPr>
        <w:t>（二）当前研究局限</w:t>
      </w:r>
    </w:p>
    <w:p w14:paraId="4EF15387">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尽管ABM方法展现出独特优势，但现有研究仍存在若干共性局限：</w:t>
      </w:r>
    </w:p>
    <w:p w14:paraId="78E1E50F">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数据可得性与质量制约模型精度</w:t>
      </w:r>
      <w:r>
        <w:rPr>
          <w:rFonts w:hint="eastAsia" w:ascii="宋体" w:hAnsi="宋体" w:eastAsia="宋体" w:cs="宋体"/>
          <w:sz w:val="28"/>
          <w:szCs w:val="28"/>
        </w:rPr>
        <w:t>：ABM建模需要大量微观数据，如个体行为数据、技术参数数据等，但这类数据在许多地区（尤其是发展中国家）难以获取，或存在数据不一致、不完整等问题（Edelenbosch等，2020）。例如，部分国家缺乏按代理类型细分的出行数据，部分技术参数需从制造商资料中补充。</w:t>
      </w:r>
    </w:p>
    <w:p w14:paraId="3923770E">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需求与供给的互动机制简化</w:t>
      </w:r>
      <w:r>
        <w:rPr>
          <w:rFonts w:hint="eastAsia" w:ascii="宋体" w:hAnsi="宋体" w:eastAsia="宋体" w:cs="宋体"/>
          <w:sz w:val="28"/>
          <w:szCs w:val="28"/>
        </w:rPr>
        <w:t>：大多采用外生给定的需求增长路径，未考虑交通成本、能源价格变化对需求的反向影响，可能导致政策效果评估偏差。例如，低碳技术推广带来的出行成本降低可能刺激更多出行需求，部分抵消减排效果（Grether等，2013）。</w:t>
      </w:r>
    </w:p>
    <w:p w14:paraId="42178378">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基础设施与供应链建模不足</w:t>
      </w:r>
      <w:r>
        <w:rPr>
          <w:rFonts w:hint="eastAsia" w:ascii="宋体" w:hAnsi="宋体" w:eastAsia="宋体" w:cs="宋体"/>
          <w:sz w:val="28"/>
          <w:szCs w:val="28"/>
        </w:rPr>
        <w:t>：虽估算了未来能源需求，但未详细模拟加氢站、充电桩等基础设施的空间布局，以及低碳燃料的生产、运输供应链，可能导致技术扩散路径预测不准确（Wang等，2021）。</w:t>
      </w:r>
    </w:p>
    <w:p w14:paraId="03DD5E70">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不确定性处理方式较为单一</w:t>
      </w:r>
      <w:r>
        <w:rPr>
          <w:rFonts w:hint="eastAsia" w:ascii="宋体" w:hAnsi="宋体" w:eastAsia="宋体" w:cs="宋体"/>
          <w:sz w:val="28"/>
          <w:szCs w:val="28"/>
        </w:rPr>
        <w:t>：主要通过情景分析描述不确定性，未量化关键参数的概率分布及其对结论的影响，难以全面评估模型结果的稳健性（Dupuy，1997）。</w:t>
      </w:r>
    </w:p>
    <w:p w14:paraId="1F6AAE99">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b/>
          <w:bCs/>
          <w:sz w:val="28"/>
          <w:szCs w:val="28"/>
        </w:rPr>
      </w:pPr>
      <w:r>
        <w:rPr>
          <w:rFonts w:hint="eastAsia" w:ascii="宋体" w:hAnsi="宋体" w:eastAsia="宋体" w:cs="宋体"/>
          <w:b/>
          <w:bCs/>
          <w:sz w:val="28"/>
          <w:szCs w:val="28"/>
        </w:rPr>
        <w:t>（三）未来研究方向</w:t>
      </w:r>
    </w:p>
    <w:p w14:paraId="69789BE2">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基于现有局限，结合交通与能源系统的发展趋势，未来ABM研究可从以下方向深化：</w:t>
      </w:r>
    </w:p>
    <w:p w14:paraId="439BD53C">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推动多源数据整合与共享</w:t>
      </w:r>
      <w:r>
        <w:rPr>
          <w:rFonts w:hint="eastAsia" w:ascii="宋体" w:hAnsi="宋体" w:eastAsia="宋体" w:cs="宋体"/>
          <w:sz w:val="28"/>
          <w:szCs w:val="28"/>
        </w:rPr>
        <w:t>：利用大数据技术（如GPS轨迹、出行APP数据）和机器学习方法，整合多源异构数据，提升参数校准精度；建立标准化数据共享平台，缓解数据获取难题（Kagho等，2020）。</w:t>
      </w:r>
    </w:p>
    <w:p w14:paraId="14F61F0B">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加强模型耦合与系统集成</w:t>
      </w:r>
      <w:r>
        <w:rPr>
          <w:rFonts w:hint="eastAsia" w:ascii="宋体" w:hAnsi="宋体" w:eastAsia="宋体" w:cs="宋体"/>
          <w:sz w:val="28"/>
          <w:szCs w:val="28"/>
        </w:rPr>
        <w:t>：将ABM与宏观经济模型、电力系统模型等耦合，分析交通能源转型对经济、能源系统的综合影响，形成更完整的分析框架（Giarola等，2022）。</w:t>
      </w:r>
    </w:p>
    <w:p w14:paraId="03EFD067">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深化基础设施内生建模</w:t>
      </w:r>
      <w:r>
        <w:rPr>
          <w:rFonts w:hint="eastAsia" w:ascii="宋体" w:hAnsi="宋体" w:eastAsia="宋体" w:cs="宋体"/>
          <w:sz w:val="28"/>
          <w:szCs w:val="28"/>
        </w:rPr>
        <w:t>：将加氢站、充电桩布局、低碳燃料供应链作为动态变量纳入模型，分析供需匹配的演化路径，提升技术扩散预测的准确性（Khanra等，2024）。</w:t>
      </w:r>
    </w:p>
    <w:p w14:paraId="6378C690">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rPr>
        <w:t>优化政策评估的精细化程度</w:t>
      </w:r>
      <w:r>
        <w:rPr>
          <w:rFonts w:hint="eastAsia" w:ascii="宋体" w:hAnsi="宋体" w:eastAsia="宋体" w:cs="宋体"/>
          <w:sz w:val="28"/>
          <w:szCs w:val="28"/>
        </w:rPr>
        <w:t>：结合行为经济学insights，探索信息推送、社会规范等轻干预手段对技术采纳的影响；设计差异化政策方案，兼顾不同群体的行为差异与公平性（Basu等，2021）。</w:t>
      </w:r>
    </w:p>
    <w:p w14:paraId="7F5C0C5A">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黑体" w:hAnsi="黑体" w:eastAsia="黑体" w:cs="黑体"/>
          <w:sz w:val="30"/>
          <w:szCs w:val="30"/>
        </w:rPr>
      </w:pPr>
      <w:r>
        <w:rPr>
          <w:rFonts w:hint="eastAsia" w:ascii="黑体" w:hAnsi="黑体" w:eastAsia="黑体" w:cs="黑体"/>
          <w:sz w:val="30"/>
          <w:szCs w:val="30"/>
        </w:rPr>
        <w:t>五、结语</w:t>
      </w:r>
    </w:p>
    <w:p w14:paraId="31FE3B40">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交通与能源系统的低碳转型是一项复杂的系统工程，涉及个体行为、技术创新、政策引导等多重因素的动态互动。代理建模作为一种“自下而上”的模拟方法，在捕捉异质性行为、模拟动态演化、评估政策效果等方面展现出独特优势，已在微观交通优化、城市交通规划、难减排部门脱碳、发展中国家转型实践等多个场景中发挥重要作用。</w:t>
      </w:r>
    </w:p>
    <w:p w14:paraId="34013374">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研究表明，交通与能源系统的深度脱碳并非单一技术或政策能够实现，而是需要技术迭代、政策引导、行为转变的协同推进。同时，当前研究仍面临数据制约、模型耦合不足、基础设施建模深度不够等挑战，未来需要通过多源数据整合、跨模型耦合、精细化政策设计等方式不断完善。随着计算能力的提升和数据环境的改善，ABM方法有望为交通与能源系统的转型规划提供更精准、全面的决策支持，助力全球碳中和目标的实现。</w:t>
      </w:r>
    </w:p>
    <w:p w14:paraId="541466F1">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黑体" w:hAnsi="黑体" w:eastAsia="黑体" w:cs="黑体"/>
          <w:sz w:val="30"/>
          <w:szCs w:val="30"/>
        </w:rPr>
      </w:pPr>
      <w:r>
        <w:rPr>
          <w:rFonts w:hint="eastAsia" w:ascii="黑体" w:hAnsi="黑体" w:eastAsia="黑体" w:cs="黑体"/>
          <w:sz w:val="30"/>
          <w:szCs w:val="30"/>
        </w:rPr>
        <w:t>参考文献</w:t>
      </w:r>
    </w:p>
    <w:p w14:paraId="5B5AF81D">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 Intergovernmental Panel on Climate Change (IPCC). Sixth Assessment Report[R]. 2022.</w:t>
      </w:r>
    </w:p>
    <w:p w14:paraId="73AC0781">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 Giarola S, Barrella M, Perona M, et al. A multi-agent based model for the UK road transport sector: Zero tailpipe emission vehicles and policy implications[J]. Applied Energy, 2022, 305: 117891.</w:t>
      </w:r>
    </w:p>
    <w:p w14:paraId="77CFEECD">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 Zhang J, Yang H. Modeling route choice inertia in network equilibrium with heterogeneous prevailing choice sets[J]. Transportation Research Part C: Emerging Technologies, 2015, 57: 42-54.</w:t>
      </w:r>
    </w:p>
    <w:p w14:paraId="2D6B717F">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 Sun Z, Wang Z, Wang T, et al. How to reduce the influence of special vehicles on traffic flow? A Dogit-ABM approach[J]. IET Intelligent Transport Systems, 2024, 18(11): 1981-1998.</w:t>
      </w:r>
    </w:p>
    <w:p w14:paraId="12BEC2DF">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 Khanra M, Prabhu S D, Wietschel M. Estimating energy demand for decarbonising the aviation and maritime fleets of Germany: An agent-based technology diffusion approach considering investment behaviour[J]. Energy, 2024, 311: 133106.</w:t>
      </w:r>
    </w:p>
    <w:p w14:paraId="6117DEC6">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[6] Jafari A, Singh D, Both A, et al. Activity-based and agent-based transport model of Melbourne: an open multi-modal transport simulation model for Greater Melbourne[J]. Journal of Intelligent Transportation Systems, 2025, 29(4): 417-434.</w:t>
      </w:r>
    </w:p>
    <w:p w14:paraId="7D645711">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[7] Yakhshilikov J, Cavana M, Inoyatkhodjaev J, et al. Long-term energy and emissions outlook for the road transport sector of Uzbekistan: Insights from an agent-based energy model[J]. Energy, 2025, 339: 139106.</w:t>
      </w:r>
    </w:p>
    <w:p w14:paraId="10BE92B9">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[8] Yu J, Shen P, Wang Z, et al. Optimization for speed regulation strategy of compound coupled hydro-mechanical transmission[J]. Proceedings of the Institution of Mechanical Engineers, Part D: Journal of Automobile Engineering, 2021, 235(7): 1966-1977.</w:t>
      </w:r>
    </w:p>
    <w:p w14:paraId="585795B8">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[9] Gaudry M J I, Dagenais M G. The dogit model[J]. Transportation Research Part B, 1979, 13(2): 105-111.</w:t>
      </w:r>
    </w:p>
    <w:p w14:paraId="11AF9989">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[10] Rasouli S, Timmermans H. Activity-based models of travel demand: Promises, progress and prospects[J]. International Journal of Urban Sciences, 2014, 18(1): 31-60.</w:t>
      </w:r>
    </w:p>
    <w:p w14:paraId="667F418B">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[11] Both A, Singh D, Jafari A, et al. An activity-based model of transport demand for greater melbourne[J]. arXiv preprint arXiv:2111.10061, 2021.</w:t>
      </w:r>
    </w:p>
    <w:p w14:paraId="18FFD670">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[12] Fourth greenhouse gas study 2020[R]. International Maritime Organization, 2020.</w:t>
      </w:r>
    </w:p>
    <w:p w14:paraId="1F1228E3">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[13] World Bank. Uzbekistan Transport Sector Assessment[R]. 2019.</w:t>
      </w:r>
    </w:p>
    <w:p w14:paraId="0815421C">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[14] Zhang T, Gensler S, Garcia R. A study of the diffusion of alternative fuel vehicles: An agent–based modeling approach[J]. Journal of Product Innovation Management, 2011, 28(2): 152-168.</w:t>
      </w:r>
    </w:p>
    <w:p w14:paraId="1DF0B2F6">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[15] Verplanken B, Aarts H. Habit, attitude, and planned behaviour: Is habit an empty construct or an interesting case of goal-directed automaticity?[J]. European Review of Social Psychology, 1999, 10(1): 101-134.</w:t>
      </w:r>
    </w:p>
    <w:p w14:paraId="21F574D8">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[16] Hadjidimitriou N S, Cantelmo G, Antoniou C. Machine learning for activity pattern detection[J]. Journal of Intelligent Transportation Systems, 2022, 27(6): 834-848.</w:t>
      </w:r>
    </w:p>
    <w:p w14:paraId="0FCED0F4">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[17] Rao K U, Kishore V V N. A review of technology diffusion models with special reference to renewable energy technologies[J]. Renewable and Sustainable Energy Reviews, 2010, 14(3): 1070-1078.</w:t>
      </w:r>
    </w:p>
    <w:p w14:paraId="737527DC">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[18] Edelenbosch O Y, Van Vuuren D, Blok K, et al. Mitigating energy demand sector emissions: The integrated modelling perspective[J]. Applied Energy, 2020, 261: 114347.</w:t>
      </w:r>
    </w:p>
    <w:p w14:paraId="53D81F2F">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 Grether D, Furbas S, Nagel K. Agent-based modelling and simulation of air transport passenger demand[C]. The 2nd International Workshop on Agent-Based Mobility, Traffic and Transportation Models, Methodologies and Applications, 2013.</w:t>
      </w:r>
    </w:p>
    <w:p w14:paraId="210C031D">
      <w:pPr>
        <w:keepNext w:val="0"/>
        <w:keepLines w:val="0"/>
        <w:pageBreakBefore w:val="0"/>
        <w:widowControl w:val="0"/>
        <w:kinsoku/>
        <w:wordWrap/>
        <w:overflowPunct/>
        <w:topLinePunct w:val="0"/>
        <w:autoSpaceDE/>
        <w:autoSpaceDN/>
        <w:bidi w:val="0"/>
        <w:adjustRightInd/>
        <w:snapToGrid/>
        <w:spacing w:before="157" w:beforeLines="50" w:line="360" w:lineRule="auto"/>
        <w:textAlignment w:val="auto"/>
        <w:rPr>
          <w:rFonts w:hint="eastAsia" w:ascii="宋体" w:hAnsi="宋体" w:eastAsia="宋体" w:cs="宋体"/>
          <w:sz w:val="28"/>
          <w:szCs w:val="28"/>
        </w:rPr>
      </w:pPr>
      <w:r>
        <w:rPr>
          <w:rFonts w:hint="eastAsia" w:ascii="宋体" w:hAnsi="宋体" w:eastAsia="宋体" w:cs="宋体"/>
          <w:sz w:val="28"/>
          <w:szCs w:val="28"/>
          <w:lang w:val="en-US" w:eastAsia="zh-CN"/>
        </w:rPr>
        <w:t>[20] Basu N, Haque M M, King M, et al. A systematic review of the factors associated with pedestrian route choice[J]. Transport Reviews, 2021, 42(5): 672-694.</w:t>
      </w:r>
    </w:p>
    <w:p w14:paraId="1021447F">
      <w:pPr>
        <w:keepNext w:val="0"/>
        <w:keepLines w:val="0"/>
        <w:pageBreakBefore w:val="0"/>
        <w:widowControl w:val="0"/>
        <w:kinsoku/>
        <w:wordWrap/>
        <w:overflowPunct/>
        <w:topLinePunct w:val="0"/>
        <w:autoSpaceDE/>
        <w:autoSpaceDN/>
        <w:bidi w:val="0"/>
        <w:adjustRightInd/>
        <w:snapToGrid/>
        <w:spacing w:before="157" w:beforeLines="50" w:line="360" w:lineRule="auto"/>
        <w:ind w:firstLine="560" w:firstLineChars="200"/>
        <w:textAlignment w:val="auto"/>
        <w:rPr>
          <w:rFonts w:hint="eastAsia" w:ascii="宋体" w:hAnsi="宋体" w:eastAsia="宋体" w:cs="宋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B940C8"/>
    <w:rsid w:val="0F6D5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5483</Words>
  <Characters>8483</Characters>
  <Lines>0</Lines>
  <Paragraphs>0</Paragraphs>
  <TotalTime>4</TotalTime>
  <ScaleCrop>false</ScaleCrop>
  <LinksUpToDate>false</LinksUpToDate>
  <CharactersWithSpaces>9101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2026-03-19T12:37:00Z</dcterms:created>
  <dc:creator>念</dc:creator>
  <cp:lastModifiedBy>念</cp:lastModifiedBy>
  <dcterms:modified xsi:type="dcterms:W3CDTF">2026-03-19T13:12:51Z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eyJoZGlkIjoiZDhhZmVmN2E3OWUxMjVlYWI5ZTU1YzdiNzk4N2I4MmQiLCJ1c2VySWQiOiIxNjE2NTAyMzYxIn0=</vt:lpwstr>
  </property>
  <property fmtid="{D5CDD505-2E9C-101B-9397-08002B2CF9AE}" pid="4" name="ICV">
    <vt:lpwstr>42BA5ACEFD6340828F94FE040B0999F3_12</vt:lpwstr>
  </property>
</Properties>
</file>