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0"/>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10"/>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t>当社会治理遇上“沙盒模拟”——基于ABM的文献综述</w:t>
      </w:r>
    </w:p>
    <w:p w14:paraId="38E540C9">
      <w:pPr>
        <w:rPr>
          <w:rFonts w:hint="eastAsia"/>
          <w:lang w:val="en-US" w:eastAsia="zh-CN"/>
        </w:rPr>
      </w:pPr>
    </w:p>
    <w:p w14:paraId="5E33F57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仿宋_GB2312" w:hAnsi="仿宋_GB2312" w:eastAsia="仿宋_GB2312" w:cs="仿宋_GB2312"/>
          <w:b w:val="0"/>
          <w:bCs w:val="0"/>
          <w:sz w:val="24"/>
          <w:szCs w:val="24"/>
          <w:highlight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一、引言：为什么我们需要ABM？</w:t>
      </w:r>
    </w:p>
    <w:p w14:paraId="724272B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bookmarkStart w:id="0" w:name="_GoBack"/>
      <w:bookmarkEnd w:id="0"/>
    </w:p>
    <w:p w14:paraId="755E71E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传统公共管理与政策研究中，政策制定多基于中心化的宏观统计数据，隐含完全理性、个体同质性的经典假设，认为政策调控可通过线性传导实现预设目标。但现实中，社会系统是由大量异质性个体通过动态互动构成的复杂适应系统，个体异质性、主体间互动与系统层面的涌现性特征，使得传统线性预测模型难以精准刻画政策实施的真实效果，也无法解释同质化政策在不同场景下的效果差异（王国成等，2023）。</w:t>
      </w:r>
    </w:p>
    <w:p w14:paraId="5ABE36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1AF43C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随着数智技术的发展，公共政策研究亟需实现从抽象理论推演向现实复杂场景适配的方法论转型。基于主体的建模（Agent-Based Modeling，下文简称ABM），为复杂社会系统下的政策研究提供了新的分析框架。</w:t>
      </w:r>
    </w:p>
    <w:p w14:paraId="124468E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C87DFC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ABM通过在计算机系统中构建异质性的智能体（Agent），设定主体的行为规则、决策逻辑与互动机制，模拟政策干预下主体的自主决策行为与系统整体的演化路径，从而实现政策实施前的仿真推演与效果预判。</w:t>
      </w:r>
    </w:p>
    <w:p w14:paraId="5EC1169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3D6754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相较于传统定量方法，ABM不仅是政策量化分析的工具，更可为公共管理研究提供可控的思想实验场景，降低政策试错成本（王国成等，2023）。</w:t>
      </w:r>
    </w:p>
    <w:p w14:paraId="2F528433">
      <w:pP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08F86F76">
      <w:pPr>
        <w:numPr>
          <w:ilvl w:val="0"/>
          <w:numId w:val="0"/>
        </w:numPr>
        <w:ind w:leftChars="0"/>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二、把复杂的人心装进决策公式</w:t>
      </w:r>
    </w:p>
    <w:p w14:paraId="4250919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271CD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相较于传统宏观计量模型的核心优势，在于可实现对异质性主体微观决策行为的精细化刻画，将个体非完全理性、非线性的行为逻辑纳入模型框架，现有研究主要从个体心理特征与社会网络效应两个维度进行了拓展。</w:t>
      </w:r>
    </w:p>
    <w:p w14:paraId="47FB00F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200DD2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个体行为动机的精细化解构方面，王好芳等（2025）在青岛城镇生活需水与水价政策仿真研究中，基于行为的“途径-目的”维度构建了四象限行为逻辑矩阵，从经济性-环保性动机、器具性-习惯性行为两个维度，对居民节水行为进行了细分。仿真结果表明，水价政策杠杆对经济性动机驱动的习惯性节水行为干预效果最为显著，而对环保性动机驱动的器具更换行为无明显干预效果。该研究通过对微观行为动机的精细化拆解，为政策的精准化设计提供了仿真依据。</w:t>
      </w:r>
    </w:p>
    <w:p w14:paraId="3C57C03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33753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主体互动的社会网络效应方面，Mishra等（2025）在城市能源转型的ABM仿真研究中指出，能源系统转型的核心影响因素是消费者的行为决策，而非物理设施本身。消费者的新能源产品采纳行为（如电动汽车、分布式光伏购买），不仅受价格因素影响，还显著受到社会网络中的同伴效应影响。</w:t>
      </w:r>
    </w:p>
    <w:p w14:paraId="551AD52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B8422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现有相关研究已突破了ABM早期简单行为规则的设定局限，通过对个体心理阈值、社会规范扩散、主体间互动机制的精细化模拟，实现了对真实主体行为逻辑的更贴近还原，也为公共政策的精准化设计提供了微观层面的仿真支撑。</w:t>
      </w:r>
    </w:p>
    <w:p w14:paraId="42FFC85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三、论文典例：电力、碳排放与钱包的连锁反应</w:t>
      </w:r>
    </w:p>
    <w:p w14:paraId="3429EAA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F4BC3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ABM可通过多主体互动模拟，刻画政策实施过程中多市场、多主体的连锁反应与政策传导路径，识别不同政策工具的实施效果，现有研究</w:t>
      </w:r>
      <w:r>
        <w:rPr>
          <w:rFonts w:hint="eastAsia" w:ascii="仿宋_GB2312" w:hAnsi="仿宋_GB2312" w:eastAsia="仿宋_GB2312" w:cs="仿宋_GB2312"/>
          <w:b w:val="0"/>
          <w:bCs w:val="0"/>
          <w:sz w:val="24"/>
          <w:szCs w:val="24"/>
          <w:highlight w:val="none"/>
          <w:lang w:val="en-US" w:eastAsia="zh-CN"/>
        </w:rPr>
        <w:t>包含</w:t>
      </w:r>
      <w:r>
        <w:rPr>
          <w:rFonts w:hint="default" w:ascii="仿宋_GB2312" w:hAnsi="仿宋_GB2312" w:eastAsia="仿宋_GB2312" w:cs="仿宋_GB2312"/>
          <w:b w:val="0"/>
          <w:bCs w:val="0"/>
          <w:sz w:val="24"/>
          <w:szCs w:val="24"/>
          <w:highlight w:val="none"/>
          <w:lang w:val="en-US" w:eastAsia="zh-CN"/>
        </w:rPr>
        <w:t>以下三个场景：</w:t>
      </w:r>
    </w:p>
    <w:p w14:paraId="478805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27F106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第一，电碳市场政策仿真。Wang等（2025）基于企业异质性偏好构建ABM模型，将企业划分为套利型、避险型、投机型三类异质性主体，模拟了不同类型企业在减排政策约束下的碳市场交易与低碳技术采纳行为。仿真结果解释了履约期临近时碳价异常波动的核心原因：合规驱动型企业的集中交易行为引发了市场共振，为碳市场调控政策的设计提供了仿真依据。</w:t>
      </w:r>
    </w:p>
    <w:p w14:paraId="17B36C1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A732AD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第二，能效政策与经济增长效应仿真。Huo等（2025）通过ABM模型开展了政策对冲实验，对比了研发补贴与税收优惠两类能效政策的实施效果。结果表明，税收优惠政策具有短期激励效果，而研发直接补贴政策的长期减排效应与经济增长稳定性更优，为能效政策的长效化设计提供了参考。</w:t>
      </w:r>
    </w:p>
    <w:p w14:paraId="6DD0D67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D6BDF9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Fonts w:hint="default" w:ascii="仿宋_GB2312" w:hAnsi="仿宋_GB2312" w:eastAsia="仿宋_GB2312" w:cs="仿宋_GB2312"/>
          <w:b w:val="0"/>
          <w:bCs w:val="0"/>
          <w:sz w:val="24"/>
          <w:szCs w:val="24"/>
          <w:highlight w:val="none"/>
          <w:lang w:val="en-US" w:eastAsia="zh-CN"/>
        </w:rPr>
        <w:t>第三，碳捕集利用与封存（CCUS）基础设施布局优化。Uddin等（2025）构建了覆盖全美的CCUS多式联运ABM模型（CCUS-agent），整合了管道、铁路、公路、航运四类运输方式，通过五类算法优化，实现了碳运输成本与减排效率的双重优化，为跨区域CCUS基础设施的空间布局与公共投资决策提供了量化支撑。</w:t>
      </w:r>
    </w:p>
    <w:p w14:paraId="25F0C361">
      <w:pPr>
        <w:widowControl w:val="0"/>
        <w:numPr>
          <w:ilvl w:val="0"/>
          <w:numId w:val="0"/>
        </w:numPr>
        <w:ind w:leftChars="0"/>
        <w:jc w:val="both"/>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73035CF7">
      <w:pPr>
        <w:widowControl w:val="0"/>
        <w:numPr>
          <w:ilvl w:val="0"/>
          <w:numId w:val="0"/>
        </w:numPr>
        <w:ind w:leftChars="0"/>
        <w:jc w:val="both"/>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四、在韧性生存与快速响应中派上用场</w:t>
      </w:r>
    </w:p>
    <w:p w14:paraId="7BC557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90179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面对气候变化、突发公共卫生事件等不确定性极端风险，ABM可通过多场景仿真推演，为应急管理政策的设计与优化提供量化支撑，提升社会系统的风险应对韧性。</w:t>
      </w:r>
    </w:p>
    <w:p w14:paraId="1ED55A7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FA95A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气候适应与海岸带韧性治理领域，Roukouni等（2025）结合GIS地理空间数据与ABM方法，构建了海岸带韧性模型（CRes-ABM），为受海平面上升威胁的家庭与社区构建了异质性主体模型。通过仿真模拟，该研究识别了防洪堤建设等工程措施对居民定居行为的影响，厘清了工程措施与社区拥挤效应之间的关联机制，实现了气候韧性治理措施的空间可视化与效果预判。</w:t>
      </w:r>
    </w:p>
    <w:p w14:paraId="58894B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0B7F3E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突发公共卫生事件应急管理领域，Zhang等（2025）系统梳理了传染病传播ABM仿真的研究进展与前沿方向。相较于传统传染病动力学模型，前沿研究已通过大语言模型（LLM）与强化学习（RL）技术，优化了智能体的行为决策逻辑，使主体可基于信息获取、情绪变化、政策干预动态调整自身行为。通过多场景仿真压力测试，可量化对比不同非药物干预措施、疫苗接种策略的防控效果与社会成本，为公共卫生应急政策的优化提供了精准的量化依据。</w:t>
      </w:r>
    </w:p>
    <w:p w14:paraId="677CA670">
      <w:pPr>
        <w:widowControl w:val="0"/>
        <w:numPr>
          <w:ilvl w:val="0"/>
          <w:numId w:val="0"/>
        </w:numPr>
        <w:jc w:val="both"/>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579B5FBC">
      <w:pP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五、在模拟中寻找多方共赢的平衡点</w:t>
      </w:r>
    </w:p>
    <w:p w14:paraId="0474821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419D90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公共治理场景中，政府、企业、公众等多元主体存在目标差异与利益博弈，ABM可通过多主体行为模拟，识别不同主体的行为策略与互动机制，为多主体协同治理、实现多元目标均衡提供决策依据。</w:t>
      </w:r>
    </w:p>
    <w:p w14:paraId="481D913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5773C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城市人才政策设计领域，杨勇等（2023）将城市人才系统抽象为多主体互动的平台生态，构建了包含人才、企业、政府三方主体的ABM模型，模拟了不同政策组合下人才生态系统的演化规律。研究发现，单一的人才补贴政策易引发要素拥挤效应，造成公共资源过载；只有实现补贴力度、公共服务、营商环境优化的政策组合均衡，才能推动人才生态系统的可持续发展。</w:t>
      </w:r>
    </w:p>
    <w:p w14:paraId="46DFEBA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703FA2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自然资源共同治理领域，Monlezun等（2025）以牧场生态治理为研究对象，构建了包含牧民、政府监管部门的多主体ABM模型，模拟了干旱气候冲击下，不同治理模式对牧民放牧行为与牧场生态的影响。研究表明，相较于刚性的行政命令，基于信息共享、动态调整的共同治理模式，可通过长期收益激励引导牧民自发参与生态保护，为公共资源治理提供了自下而上的解决方案。</w:t>
      </w:r>
    </w:p>
    <w:p w14:paraId="44B03387">
      <w:pPr>
        <w:widowControl w:val="0"/>
        <w:numPr>
          <w:ilvl w:val="0"/>
          <w:numId w:val="0"/>
        </w:numPr>
        <w:jc w:val="both"/>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353141D7">
      <w:pPr>
        <w:widowControl w:val="0"/>
        <w:numPr>
          <w:ilvl w:val="0"/>
          <w:numId w:val="0"/>
        </w:numPr>
        <w:jc w:val="both"/>
        <w:rPr>
          <w:rStyle w:val="10"/>
          <w:rFonts w:hint="default"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六、更多的思考：当智能体开始帮我们出谋划策</w:t>
      </w:r>
    </w:p>
    <w:p w14:paraId="3A2B371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0803DA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本文系统梳理了ABM方法在社会治理与公共政策领域的相关研究，现有研究已实现了从微观主体行为刻画、单领域政策仿真，到极端风险应急管理、多主体协同治理的全场景拓展。</w:t>
      </w:r>
    </w:p>
    <w:p w14:paraId="1140F3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580B50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相较于传统公共政策研究方法，ABM的核心价值在于突破了同质性、完全理性的经典假设，可通过可控的仿真实验，刻画复杂社会系统的演化规律，预判政策实施的真实效果，为公共政策的精准化、科学化设计提供量化支撑，推动公共治理从被动响应向主动预判转型。</w:t>
      </w:r>
    </w:p>
    <w:p w14:paraId="46FCCEB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32D5EB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尤其令人兴奋的是，ABM正在迎来一场“数智化”的质变。正如《</w:t>
      </w:r>
      <w:r>
        <w:rPr>
          <w:rFonts w:hint="eastAsia" w:ascii="仿宋_GB2312" w:hAnsi="仿宋_GB2312" w:eastAsia="仿宋_GB2312" w:cs="仿宋_GB2312"/>
          <w:b w:val="0"/>
          <w:bCs w:val="0"/>
          <w:sz w:val="24"/>
          <w:szCs w:val="24"/>
          <w:highlight w:val="none"/>
          <w:lang w:val="en-US" w:eastAsia="zh-CN"/>
        </w:rPr>
        <w:t>Agent-Based modeling of Epidemics: Approaches, Applications, and Future Directions</w:t>
      </w:r>
      <w:r>
        <w:rPr>
          <w:rFonts w:hint="default" w:ascii="仿宋_GB2312" w:hAnsi="仿宋_GB2312" w:eastAsia="仿宋_GB2312" w:cs="仿宋_GB2312"/>
          <w:b w:val="0"/>
          <w:bCs w:val="0"/>
          <w:sz w:val="24"/>
          <w:szCs w:val="24"/>
          <w:highlight w:val="none"/>
          <w:lang w:val="en-US" w:eastAsia="zh-CN"/>
        </w:rPr>
        <w:t>》（传染病智能体建模：方法、应用与未来方向）（Zhang等）[6]所预示的，当大语言模型（LLM）与强化学习（RL）融入智能体，虚拟社会中的每一个个体将拥有更接近真人的逻辑与情感。这意味着，未来的政策沙盒不仅能算出生冷的数字，还能推演社会情绪的起伏和政策执行过程中的心理博弈。</w:t>
      </w:r>
    </w:p>
    <w:p w14:paraId="3B54828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2C44C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当我们站在“预见性治理”的门口，更多的思考也随之而来：如果智能体已经能精准预判政策后果，人类决策者的角色会发生怎样的转变？正如《基于ABM的公共政策仿真研究进展与方法论启示》（王国成等）[2]所期待的，数智化治理的终极目标，并非用算法替代人，而是通过沙盒模拟消除决策中的信息迷雾，让公共治理变得更加透明、科学且充满温度。在未来的沙盒里，每一个政策的诞生，都将是对复杂世界的一次温柔探索。</w:t>
      </w:r>
    </w:p>
    <w:p w14:paraId="330E800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02DCA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76853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2" w:firstLineChars="200"/>
        <w:textAlignment w:val="auto"/>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6D0E1F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uto"/>
        <w:ind w:right="0"/>
        <w:jc w:val="left"/>
        <w:textAlignment w:val="auto"/>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0"/>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719A92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 Huo C, Mohsin M, Alidamous M. Agent-based modeling of energy efficiency policies: Enhancing sustainable development and economic growth[J]. Energy Strategy Reviews, 2025, 59.</w:t>
      </w:r>
    </w:p>
    <w:p w14:paraId="70347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[8] Monlezun A C, Boone R B, Wagner G, et al. Agent-based modeling as a tool for ecological comanagement of grazing lands[J]. Rangeland Ecology &amp; Management, 2025, 99: 88-101.</w:t>
      </w:r>
    </w:p>
    <w:p w14:paraId="7E0530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[9] Roukouni C N, Chondros M, Tsoukala V K, et al. Agent-based modeling under climate uncertainties: The Coastal Resilience (CRes-ABM) Model[J]. Journal of Geovisualization and Spatial Analysis, 2025, 9(1): 1-20.</w:t>
      </w:r>
    </w:p>
    <w:p w14:paraId="3B4A7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[10] Wang M, Liu S, Li Z. Agent-based modeling of firm's heterogeneous preferences: Implications for trading and technology adoption in electricity-carbon market[J]. Energy Economics, 2025, 148.</w:t>
      </w:r>
    </w:p>
    <w:p w14:paraId="4D4425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8A2A3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1" w:fontKey="{BDA53824-38C1-4EF6-A594-DE1B75818A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281F85"/>
    <w:rsid w:val="1B4D72F6"/>
    <w:rsid w:val="1BBB306A"/>
    <w:rsid w:val="1BFE2CE6"/>
    <w:rsid w:val="1C4526C3"/>
    <w:rsid w:val="1C7C2AAA"/>
    <w:rsid w:val="1D7019C1"/>
    <w:rsid w:val="1DB20AC8"/>
    <w:rsid w:val="1F2E63AC"/>
    <w:rsid w:val="1F816105"/>
    <w:rsid w:val="1F9574BD"/>
    <w:rsid w:val="205729C5"/>
    <w:rsid w:val="20CC62BC"/>
    <w:rsid w:val="211A5ECC"/>
    <w:rsid w:val="21FE57EE"/>
    <w:rsid w:val="22623FCE"/>
    <w:rsid w:val="22DD3655"/>
    <w:rsid w:val="23C91EC1"/>
    <w:rsid w:val="2436509E"/>
    <w:rsid w:val="24C148B0"/>
    <w:rsid w:val="24DB5972"/>
    <w:rsid w:val="26CA2162"/>
    <w:rsid w:val="2716234B"/>
    <w:rsid w:val="271635D9"/>
    <w:rsid w:val="27532138"/>
    <w:rsid w:val="2848051E"/>
    <w:rsid w:val="28B409B4"/>
    <w:rsid w:val="28D9041B"/>
    <w:rsid w:val="2AFC2AE6"/>
    <w:rsid w:val="2CF021D7"/>
    <w:rsid w:val="2CF27F5B"/>
    <w:rsid w:val="2CF75313"/>
    <w:rsid w:val="2D4D13D7"/>
    <w:rsid w:val="2DE0224B"/>
    <w:rsid w:val="2E693FEF"/>
    <w:rsid w:val="2EFCDA93"/>
    <w:rsid w:val="2F266384"/>
    <w:rsid w:val="2F4B2ABA"/>
    <w:rsid w:val="2F5729E1"/>
    <w:rsid w:val="30E43E01"/>
    <w:rsid w:val="317830CA"/>
    <w:rsid w:val="32454D73"/>
    <w:rsid w:val="33B73A4E"/>
    <w:rsid w:val="35366BF5"/>
    <w:rsid w:val="36252EF1"/>
    <w:rsid w:val="36A52284"/>
    <w:rsid w:val="36AE60F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B743E4F"/>
    <w:rsid w:val="5BA364E3"/>
    <w:rsid w:val="5BC00E43"/>
    <w:rsid w:val="5C8400C2"/>
    <w:rsid w:val="5CCC1A69"/>
    <w:rsid w:val="5DD46E27"/>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note text"/>
    <w:basedOn w:val="1"/>
    <w:qFormat/>
    <w:uiPriority w:val="0"/>
    <w:pPr>
      <w:snapToGrid w:val="0"/>
      <w:jc w:val="left"/>
    </w:pPr>
    <w:rPr>
      <w:sz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character" w:styleId="12">
    <w:name w:val="footnote reference"/>
    <w:basedOn w:val="9"/>
    <w:qFormat/>
    <w:uiPriority w:val="0"/>
    <w:rPr>
      <w:vertAlign w:val="superscript"/>
    </w:rPr>
  </w:style>
  <w:style w:type="character" w:customStyle="1" w:styleId="13">
    <w:name w:val="font31"/>
    <w:basedOn w:val="9"/>
    <w:qFormat/>
    <w:uiPriority w:val="0"/>
    <w:rPr>
      <w:rFonts w:ascii="宋体" w:hAnsi="宋体" w:eastAsia="宋体" w:cs="宋体"/>
      <w:b/>
      <w:bCs/>
      <w:color w:val="000000"/>
      <w:sz w:val="38"/>
      <w:szCs w:val="38"/>
      <w:u w:val="none"/>
    </w:rPr>
  </w:style>
  <w:style w:type="character" w:customStyle="1" w:styleId="14">
    <w:name w:val="font41"/>
    <w:basedOn w:val="9"/>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5</Pages>
  <Words>3254</Words>
  <Characters>4482</Characters>
  <Lines>1</Lines>
  <Paragraphs>1</Paragraphs>
  <TotalTime>81</TotalTime>
  <ScaleCrop>false</ScaleCrop>
  <LinksUpToDate>false</LinksUpToDate>
  <CharactersWithSpaces>4697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2026-03-12T11:00:28Z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