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9AE78">
      <w:pPr>
        <w:pStyle w:val="3"/>
      </w:pPr>
      <w:r>
        <w:t>4 类型挖掘方法与结果</w:t>
      </w:r>
    </w:p>
    <w:p w14:paraId="7C1DF07D">
      <w:pPr>
        <w:pStyle w:val="4"/>
      </w:pPr>
      <w:r>
        <w:rPr>
          <w:rFonts w:hint="eastAsia"/>
          <w:lang w:val="en-US" w:eastAsia="zh-CN"/>
        </w:rPr>
        <w:t xml:space="preserve">4.1 </w:t>
      </w:r>
      <w:r>
        <w:t>类型划分方法</w:t>
      </w:r>
    </w:p>
    <w:p w14:paraId="6AF5833A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第一阶段的更新潜力指数反映综合缺口，但相近总分可能对应不同短板。本阶段借鉴王磊等（2026）的感知测度路线，进一步识别内部品质与外部供给的组合类型。将现有4,805条点位记录投影至UTM 50N坐标系，聚合到300 m×300 m格网，得到401个有点格网，共纳入4,803条记录。剔除点数不足3的112个格网后，保留289个格网、4,633个点位，平均每格16.03点。六维感知和外部供给指数取格内均值，更新潜力指数取中位数。</w:t>
      </w:r>
    </w:p>
    <w:p w14:paraId="0A32BB2C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以六维感知、外部供给指数及更新潜力指数共8项变量进行Z-score标准化，采用K-means聚类，随机种子设为42，初始化10次。比较K=2至9的轮廓系数、Calinski–Harabasz指数和类内平方和。K=2的前两项指标为0.250、95.6，优于K=4的0.194、79.8。因此，四类方案属于兼顾特征解释与更新策略差异的研究选择。更新潜力是派生指标，其重复输入可能强化综合缺口的影响，去除该指标后的七维方案与原分类ARI为0.901，289格中11格改变类型；30个随机种子的ARI为0.968至1.000，说明结果在本批数据上对这两项设置总体一致。</w:t>
      </w:r>
    </w:p>
    <w:p w14:paraId="0C8EDCFA">
      <w:pPr>
        <w:keepNext/>
        <w:spacing w:after="80" w:line="240" w:lineRule="auto"/>
        <w:jc w:val="center"/>
      </w:pPr>
      <w:r>
        <w:drawing>
          <wp:inline distT="0" distB="0" distL="114300" distR="114300">
            <wp:extent cx="5867400" cy="2110105"/>
            <wp:effectExtent l="0" t="0" r="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1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83AD">
      <w:pPr>
        <w:spacing w:after="100" w:line="260" w:lineRule="exact"/>
      </w:pPr>
      <w:r>
        <w:rPr>
          <w:rFonts w:ascii="Times New Roman" w:hAnsi="Times New Roman" w:eastAsia="Songti SC"/>
          <w:b w:val="0"/>
          <w:color w:val="000000"/>
          <w:sz w:val="18"/>
        </w:rPr>
        <w:t>图4-1 四类格网标准化中心。正负表示相对本批样本均值的高低，更新潜力高值表示综合缺口较大。</w:t>
      </w:r>
    </w:p>
    <w:p w14:paraId="6527A91C">
      <w:pPr>
        <w:pStyle w:val="15"/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2"/>
        </w:rPr>
        <w:t>表4-1 四类格网的规模与综合指标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850"/>
        <w:gridCol w:w="907"/>
        <w:gridCol w:w="1219"/>
        <w:gridCol w:w="1219"/>
        <w:gridCol w:w="1219"/>
      </w:tblGrid>
      <w:tr w14:paraId="2885DFF9">
        <w:trPr>
          <w:cantSplit/>
          <w:tblHeader/>
          <w:jc w:val="center"/>
        </w:trPr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9CB89C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类型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22BDA1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格网数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3193B0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占比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F18CA6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供给均值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155571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品质均值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4A5939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潜力均值</w:t>
            </w:r>
          </w:p>
        </w:tc>
      </w:tr>
      <w:tr w14:paraId="7093CB3E">
        <w:trPr>
          <w:cantSplit/>
          <w:jc w:val="center"/>
        </w:trPr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781976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  供给较高稳定型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B7E2D2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119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374B16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41.2%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55F860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0.918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1B236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0.411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D03586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0.333</w:t>
            </w:r>
          </w:p>
        </w:tc>
      </w:tr>
      <w:tr w14:paraId="73773D18">
        <w:trPr>
          <w:cantSplit/>
          <w:jc w:val="center"/>
        </w:trPr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07FA42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  感知品质较优型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C913C9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64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4EAE58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22.1%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34A7A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0.865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FCB5CB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0.447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5D7761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0.341</w:t>
            </w:r>
          </w:p>
        </w:tc>
      </w:tr>
      <w:tr w14:paraId="414BE359">
        <w:trPr>
          <w:cantSplit/>
          <w:jc w:val="center"/>
        </w:trPr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BA8CC4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  综合感知短板型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DC2181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51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907175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17.6%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F983F5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0.694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89ED16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0.368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8444BD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0.470</w:t>
            </w:r>
          </w:p>
        </w:tc>
      </w:tr>
      <w:tr w14:paraId="65E3E486">
        <w:trPr>
          <w:cantSplit/>
          <w:jc w:val="center"/>
        </w:trPr>
        <w:tc>
          <w:tcPr>
            <w:tcW w:w="2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D5599E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  相对供给不足型</w:t>
            </w: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82D7A7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55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02EA6C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19.0%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DE58DD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0.343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76C76B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0.416</w:t>
            </w:r>
          </w:p>
        </w:tc>
        <w:tc>
          <w:tcPr>
            <w:tcW w:w="12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BCF8D3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0.620</w:t>
            </w:r>
          </w:p>
        </w:tc>
      </w:tr>
    </w:tbl>
    <w:p w14:paraId="47309310">
      <w:pPr>
        <w:spacing w:before="0" w:after="20" w:line="40" w:lineRule="exact"/>
      </w:pPr>
    </w:p>
    <w:p w14:paraId="69C243EF">
      <w:pPr>
        <w:spacing w:after="100" w:line="260" w:lineRule="exact"/>
      </w:pPr>
      <w:r>
        <w:rPr>
          <w:rFonts w:ascii="Times New Roman" w:hAnsi="Times New Roman" w:eastAsia="Songti SC"/>
          <w:b w:val="0"/>
          <w:color w:val="000000"/>
          <w:sz w:val="18"/>
        </w:rPr>
        <w:t>注：各类均值按格网等权计算。“潜力均值”指格内中位数在类型内的均值；品质指数沿用原0.85总权重尺度。占比舍入后总和为99.9%。</w:t>
      </w:r>
    </w:p>
    <w:p w14:paraId="60BA4CDC">
      <w:pPr>
        <w:pStyle w:val="4"/>
        <w:pageBreakBefore/>
      </w:pPr>
      <w:r>
        <w:rPr>
          <w:rFonts w:hint="eastAsia"/>
          <w:lang w:val="en-US" w:eastAsia="zh-CN"/>
        </w:rPr>
        <w:t xml:space="preserve">4.2 </w:t>
      </w:r>
      <w:bookmarkStart w:id="0" w:name="_GoBack"/>
      <w:bookmarkEnd w:id="0"/>
      <w:r>
        <w:t>类型特征与空间差异</w:t>
      </w:r>
    </w:p>
    <w:p w14:paraId="0681A5B9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按类型中心命名并保留原编号：类型0为供给较高稳定型，119格，占41.2%，供给Z值为0.625，六维感知接近均值；类型1为感知品质较优型，64格，占22.1%，场所氛围、便民生活、建筑风貌Z值分别为1.089、1.006、0.891，环境秩序仅为−0.043，不能视为各维均优。类型2为综合感知短板型，51格，占17.6%，六维均低于均值，街巷交通和公共安全分别为−1.234、−1.193。类型3为相对供给不足型，55格，占19.0%，供给Z值为−1.609，多数内部感知维度接近或高于均值。四类更新潜力的格网等权均值依次为0.333、0.341、0.470、0.620。</w:t>
      </w:r>
    </w:p>
    <w:p w14:paraId="16B33A22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空间上，街道口片区37格中34格属类型0，青山12格中9格属类型2，钟家村18格中11格属类型3，体现样本片区间的组合差异。针对无序类别，采用Queen邻接的同类连接比例检验。669条无向邻接边中356条连接同类格网，占53.21%；保持各片区类型数量不变的9,999次置换下，期望比例为42.91%，上尾p=0.0001，说明保持片区类型构成后，样本的同类邻接超过随机置换水平。该结果不等于聚类稳定性或城市成因证明。供给指标沿用现有片区及批次口径，类型3仅表示指标相对低值；具体设施缺口和武汉全域分布仍需统一标尺及扩展样本核验。</w:t>
      </w:r>
    </w:p>
    <w:p w14:paraId="00B6D110">
      <w:pPr>
        <w:keepNext/>
        <w:spacing w:after="80" w:line="240" w:lineRule="auto"/>
        <w:jc w:val="center"/>
      </w:pPr>
      <w:r>
        <w:drawing>
          <wp:inline distT="0" distB="0" distL="114300" distR="114300">
            <wp:extent cx="5507990" cy="474535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74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DB32">
      <w:pPr>
        <w:spacing w:after="100" w:line="260" w:lineRule="exact"/>
      </w:pPr>
      <w:r>
        <w:rPr>
          <w:rFonts w:ascii="Times New Roman" w:hAnsi="Times New Roman" w:eastAsia="Songti SC"/>
          <w:b w:val="0"/>
          <w:color w:val="000000"/>
          <w:sz w:val="18"/>
        </w:rPr>
        <w:t>图4-2 300 m格网空间类型示意。依据实际投影格网绘制，展示14个样本片区内的保留单元。</w:t>
      </w:r>
    </w:p>
    <w:p w14:paraId="0B49FC03">
      <w:pPr>
        <w:pStyle w:val="3"/>
        <w:pageBreakBefore/>
      </w:pPr>
      <w:r>
        <w:t xml:space="preserve">5 </w:t>
      </w:r>
      <w:r>
        <w:rPr>
          <w:rFonts w:hint="eastAsia"/>
          <w:lang w:val="en-US" w:eastAsia="zh-CN"/>
        </w:rPr>
        <w:t xml:space="preserve"> </w:t>
      </w:r>
      <w:r>
        <w:t>痛点诊断方法与结果</w:t>
      </w:r>
    </w:p>
    <w:p w14:paraId="2A78400E">
      <w:pPr>
        <w:pStyle w:val="4"/>
      </w:pPr>
      <w:r>
        <w:rPr>
          <w:rFonts w:hint="eastAsia"/>
          <w:lang w:val="en-US" w:eastAsia="zh-CN"/>
        </w:rPr>
        <w:t xml:space="preserve">5.1 </w:t>
      </w:r>
      <w:r>
        <w:t>判别模型与诊断方法</w:t>
      </w:r>
    </w:p>
    <w:p w14:paraId="439E1544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在类型识别基础上，采用XGBoost与SHAP解释类别判别依据，并结合类型中心的相对低值识别更新短板。以289个格网的六维感知、外部供给指数和内部品质指数为8项特征，既有四类标签为预测目标。分层随机划分形成202个训练样本和87个测试样本，设置提升轮数300、最大深度5、学习率0.05、随机种子42。复现测试准确率为0.943、五折准确率为0.893±0.047；类型2召回率为0.73，提示存在漏判，应结合原始街景复核。去除综合指标和按片区分组的补充验证见附录。</w:t>
      </w:r>
    </w:p>
    <w:p w14:paraId="5EB16263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该模型的归一化gain重要性中，内部品质为0.429，外部供给为0.254，按未舍入值合计68.4%。进一步对全部289格网分别计算四个类别输出的SHAP值，以平均绝对值概括贡献强度。正SHAP提高对应类别的原始输出，负值降低输出，不能解释为更新潜力或改造收益的增减。内部品质由六维加权合成，存在输入冗余；因此，将SHAP高贡献项与类型中心低值交叉核对，以区分优势支撑和短板线索。</w:t>
      </w:r>
    </w:p>
    <w:p w14:paraId="68FC88E5">
      <w:pPr>
        <w:keepNext/>
        <w:spacing w:after="80" w:line="240" w:lineRule="auto"/>
        <w:jc w:val="center"/>
      </w:pPr>
    </w:p>
    <w:p w14:paraId="0304F080">
      <w:pPr>
        <w:keepNext/>
        <w:spacing w:after="80" w:line="240" w:lineRule="auto"/>
        <w:jc w:val="center"/>
      </w:pPr>
      <w:r>
        <w:drawing>
          <wp:inline distT="0" distB="0" distL="114300" distR="114300">
            <wp:extent cx="5867400" cy="1952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b="1035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93B4">
      <w:pPr>
        <w:spacing w:after="100" w:line="260" w:lineRule="exact"/>
      </w:pPr>
      <w:r>
        <w:rPr>
          <w:rFonts w:ascii="Times New Roman" w:hAnsi="Times New Roman" w:eastAsia="Songti SC"/>
          <w:b w:val="0"/>
          <w:color w:val="000000"/>
          <w:sz w:val="18"/>
        </w:rPr>
        <w:t>图5-1 树模型gain重要性与分类型SHAP贡献。SHAP针对各类别原始输出，汇总全部289格网，不是仅在本类格网内取均值。</w:t>
      </w:r>
    </w:p>
    <w:p w14:paraId="79031E50">
      <w:pPr>
        <w:pStyle w:val="4"/>
      </w:pPr>
      <w:r>
        <w:rPr>
          <w:rFonts w:hint="eastAsia"/>
          <w:lang w:val="en-US" w:eastAsia="zh-CN"/>
        </w:rPr>
        <w:t xml:space="preserve">5.2 </w:t>
      </w:r>
      <w:r>
        <w:t>诊断结果</w:t>
      </w:r>
    </w:p>
    <w:p w14:paraId="400615F7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类型0主要由外部供给区分，平均绝对SHAP为1.668；其供给得分较高，六维整体接近均值，适宜维护现有服务并针对具体点位微更新。类型1的内部品质、场所氛围和建筑风貌贡献分别为1.620、0.905、0.587，对应维度得分较高，宜延续空间品质与场所氛围，其命名不意味着属于法定历史保护街区。</w:t>
      </w:r>
    </w:p>
    <w:p w14:paraId="36990A07">
      <w:pPr>
        <w:pStyle w:val="4"/>
        <w:pageBreakBefore/>
      </w:pPr>
      <w:r>
        <w:rPr>
          <w:rFonts w:hint="eastAsia"/>
          <w:lang w:val="en-US" w:eastAsia="zh-CN"/>
        </w:rPr>
        <w:t xml:space="preserve">5.3 </w:t>
      </w:r>
      <w:r>
        <w:t>痛点线索与更新方向</w:t>
      </w:r>
    </w:p>
    <w:p w14:paraId="2E25EF40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类型2的内部品质贡献为2.575，公共安全为0.639，且六维中心均为负值。蜂巢图中，较低内部品质和安全得分提高归入类型2的模型输出，结合街巷交通、公共安全的突出低值，应优先核查慢行环境、人车冲突与消防通行，再明确界面维护和便民服务整治内容。类型3的供给贡献为3.231，供给中心Z值为−1.609，而内部品质接近均值，更新线索集中于外部服务供给及可达性，应下钻到设施类别和居民需求后确定补缺项目。</w:t>
      </w:r>
    </w:p>
    <w:p w14:paraId="48DDE814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由此形成维护提升、品质延续、综合整治和供给核查四种更新方向，为下一阶段情景推演提供类型、低分维度、判别贡献和待核验事项。痛点指本批样本中的相对短板，并非规划达标判定；1,000 m圆形POI搜索也不能代替步行可达性分析。由于标签与解释变量来自同源指标，分类精度衡量既有类别的判别一致性，SHAP提供模型解释线索，尚不足以证明类型的因果形成机制或预测更新效果。</w:t>
      </w:r>
    </w:p>
    <w:p w14:paraId="7B5ABB24">
      <w:pPr>
        <w:pStyle w:val="15"/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2"/>
        </w:rPr>
        <w:t>表5-1 判别贡献与相对短板的交叉核对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2835"/>
        <w:gridCol w:w="2721"/>
      </w:tblGrid>
      <w:tr w14:paraId="12657925">
        <w:trPr>
          <w:cantSplit/>
          <w:tblHeader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4FD178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类型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67764F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主要判别贡献</w:t>
            </w: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平均绝对SHAP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F1A304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类型中心证据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96F181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建议核验与更新方向</w:t>
            </w:r>
          </w:p>
        </w:tc>
      </w:tr>
      <w:tr w14:paraId="3BA42E5E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822EFA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E31182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供给1.668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品质1.240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2CB0A0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供给Z=+0.625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六维接近均值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28EDA9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维护现有服务，针对具体点位微更新</w:t>
            </w:r>
          </w:p>
        </w:tc>
      </w:tr>
      <w:tr w14:paraId="3FA0A2B0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D37267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4BF512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品质1.620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场所氛围0.905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6A854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场所Z=+1.089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建筑Z=+0.891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98C431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延续品质与氛围，核查局部环境问题</w:t>
            </w:r>
          </w:p>
        </w:tc>
      </w:tr>
      <w:tr w14:paraId="15AAE239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5F25CB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A31BF3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品质2.575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安全0.639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0C9725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六维均低；交通Z=−1.234，安全Z=−1.193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A5103B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核查慢行、人车冲突与消防通行后综合整治</w:t>
            </w:r>
          </w:p>
        </w:tc>
      </w:tr>
      <w:tr w14:paraId="1400EF9A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6837F1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0BB532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供给3.231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品质0.207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C75B4A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供给Z=−1.609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多数内部维度接近均值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D5479E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核查原始设施量、类别与可达性后确定补缺</w:t>
            </w:r>
          </w:p>
        </w:tc>
      </w:tr>
    </w:tbl>
    <w:p w14:paraId="6ECFD836">
      <w:pPr>
        <w:spacing w:before="0" w:after="20" w:line="40" w:lineRule="exact"/>
      </w:pPr>
    </w:p>
    <w:p w14:paraId="153AAD6F">
      <w:pPr>
        <w:spacing w:after="100" w:line="260" w:lineRule="exact"/>
      </w:pPr>
      <w:r>
        <w:rPr>
          <w:rFonts w:ascii="Times New Roman" w:hAnsi="Times New Roman" w:eastAsia="Songti SC"/>
          <w:b w:val="0"/>
          <w:color w:val="000000"/>
          <w:sz w:val="18"/>
        </w:rPr>
        <w:t>注：贡献高的变量可能是优势支撑；只有与低得分及原始证据对应时才形成短板线索。上述方向属于待核验的更新建议。</w:t>
      </w:r>
    </w:p>
    <w:p w14:paraId="1576770D">
      <w:pPr>
        <w:pStyle w:val="4"/>
      </w:pPr>
      <w:r>
        <w:rPr>
          <w:rFonts w:hint="eastAsia"/>
          <w:lang w:val="en-US" w:eastAsia="zh-CN"/>
        </w:rPr>
        <w:t xml:space="preserve">5.4 </w:t>
      </w:r>
      <w:r>
        <w:t>补充验证</w:t>
      </w:r>
    </w:p>
    <w:p w14:paraId="32829813">
      <w:pPr>
        <w:ind w:firstLine="440"/>
        <w:jc w:val="both"/>
      </w:pPr>
      <w:r>
        <w:rPr>
          <w:rFonts w:ascii="Times New Roman" w:hAnsi="Times New Roman" w:eastAsia="Songti SC"/>
          <w:b w:val="0"/>
          <w:color w:val="000000"/>
          <w:sz w:val="22"/>
        </w:rPr>
        <w:t>去除重复的内部品质指数后，类型2的SHAP前三项为公共安全、街巷交通、场所氛围，类型3仍以外部供给为首。这支持内部感知短板与相对供给不足的区分，但归因排序会随指标编码改变。</w:t>
      </w:r>
    </w:p>
    <w:p w14:paraId="1658D48D">
      <w:pPr>
        <w:pStyle w:val="15"/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2"/>
        </w:rPr>
        <w:t>表5-2 去除综合指标与按片区验证的对照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1956"/>
        <w:gridCol w:w="2296"/>
        <w:gridCol w:w="2296"/>
      </w:tblGrid>
      <w:tr w14:paraId="01040C63">
        <w:trPr>
          <w:cantSplit/>
          <w:tblHeader/>
          <w:jc w:val="center"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F4280C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特征方案</w:t>
            </w:r>
          </w:p>
        </w:tc>
        <w:tc>
          <w:tcPr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A2D1D3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分层测试准确率</w:t>
            </w:r>
          </w:p>
        </w:tc>
        <w:tc>
          <w:tcPr>
            <w:tcW w:w="2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352914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分层五折准确率</w:t>
            </w:r>
          </w:p>
        </w:tc>
        <w:tc>
          <w:tcPr>
            <w:tcW w:w="2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8E4432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片区分组五折准确率</w:t>
            </w:r>
          </w:p>
        </w:tc>
      </w:tr>
      <w:tr w14:paraId="611E1B98">
        <w:trPr>
          <w:cantSplit/>
          <w:jc w:val="center"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F0215E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原8维</w:t>
            </w:r>
          </w:p>
        </w:tc>
        <w:tc>
          <w:tcPr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B7B677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0.943</w:t>
            </w:r>
          </w:p>
        </w:tc>
        <w:tc>
          <w:tcPr>
            <w:tcW w:w="2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B5114E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0.893 ± 0.047</w:t>
            </w:r>
          </w:p>
        </w:tc>
        <w:tc>
          <w:tcPr>
            <w:tcW w:w="2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68DDC1"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0.894 ± 0.053</w:t>
            </w:r>
          </w:p>
        </w:tc>
      </w:tr>
      <w:tr w14:paraId="4C5631DB">
        <w:trPr>
          <w:cantSplit/>
          <w:jc w:val="center"/>
        </w:trPr>
        <w:tc>
          <w:tcPr>
            <w:tcW w:w="2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0935AE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去品质指数7维</w:t>
            </w:r>
          </w:p>
        </w:tc>
        <w:tc>
          <w:tcPr>
            <w:tcW w:w="19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13A0BD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0.908</w:t>
            </w:r>
          </w:p>
        </w:tc>
        <w:tc>
          <w:tcPr>
            <w:tcW w:w="2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D7B6BF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0.879 ± 0.043</w:t>
            </w:r>
          </w:p>
        </w:tc>
        <w:tc>
          <w:tcPr>
            <w:tcW w:w="2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A3950A">
            <w:pPr>
              <w:keepNext w:val="0"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0.863 ± 0.054</w:t>
            </w:r>
          </w:p>
        </w:tc>
      </w:tr>
    </w:tbl>
    <w:p w14:paraId="6C31E2BE">
      <w:pPr>
        <w:spacing w:before="0" w:after="20" w:line="40" w:lineRule="exact"/>
      </w:pPr>
    </w:p>
    <w:p w14:paraId="4AF65BF0">
      <w:pPr>
        <w:spacing w:after="100" w:line="260" w:lineRule="exact"/>
      </w:pPr>
      <w:r>
        <w:rPr>
          <w:rFonts w:ascii="Times New Roman" w:hAnsi="Times New Roman" w:eastAsia="Songti SC"/>
          <w:b w:val="0"/>
          <w:color w:val="000000"/>
          <w:sz w:val="18"/>
        </w:rPr>
        <w:t>五折为各折等权均值±总体标准差。分层五折不打乱，匹配原脚本；片区分组五折的训练与测试片区互不重叠，但标签仍由全样本聚类得到，衡量固定类别规则的迁移一致性。</w:t>
      </w:r>
    </w:p>
    <w:sectPr>
      <w:headerReference r:id="rId5" w:type="default"/>
      <w:footerReference r:id="rId6" w:type="default"/>
      <w:pgSz w:w="11906" w:h="16838"/>
      <w:pgMar w:top="1077" w:right="1276" w:bottom="1020" w:left="1276" w:header="454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A06EC">
    <w:pPr>
      <w:pStyle w:val="24"/>
      <w:spacing w:line="240" w:lineRule="exact"/>
      <w:jc w:val="center"/>
    </w:pPr>
    <w:r>
      <w:rPr>
        <w:rFonts w:ascii="Times New Roman" w:hAnsi="Times New Roman" w:eastAsia="Songti SC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Songti SC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CAC2D">
    <w:pPr>
      <w:pStyle w:val="25"/>
      <w:spacing w:line="240" w:lineRule="exact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B12AE"/>
    <w:rsid w:val="F7B78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20" w:lineRule="exact"/>
    </w:pPr>
    <w:rPr>
      <w:rFonts w:ascii="Times New Roman" w:hAnsi="Times New Roman" w:eastAsia="Songti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140" w:after="120" w:line="420" w:lineRule="exact"/>
      <w:outlineLvl w:val="0"/>
    </w:pPr>
    <w:rPr>
      <w:rFonts w:ascii="Times New Roman" w:hAnsi="Times New Roman" w:eastAsia="Heiti SC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spacing w:before="140" w:after="120" w:line="336" w:lineRule="exact"/>
      <w:outlineLvl w:val="1"/>
    </w:pPr>
    <w:rPr>
      <w:rFonts w:ascii="Times New Roman" w:hAnsi="Times New Roman" w:eastAsia="Heiti SC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120" w:line="308" w:lineRule="exact"/>
      <w:outlineLvl w:val="2"/>
    </w:pPr>
    <w:rPr>
      <w:rFonts w:ascii="Times New Roman" w:hAnsi="Times New Roman" w:eastAsia="Heiti SC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80" w:line="240" w:lineRule="auto"/>
    </w:pPr>
    <w:rPr>
      <w:rFonts w:ascii="Times New Roman" w:hAnsi="Times New Roman" w:eastAsia="Songti SC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ageBreakBefore w:val="0"/>
      <w:spacing w:before="0" w:after="160" w:line="532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邹予嘉</dc:creator>
  <dc:description>依据本地结果核验并补充初始化、派生指标消融、类别邻接和片区分组验证。</dc:description>
  <cp:lastModifiedBy>Zouyujia</cp:lastModifiedBy>
  <dcterms:modified xsi:type="dcterms:W3CDTF">2026-10-09T13:28:34Z</dcterms:modified>
  <dc:subject>大创项目第二阶段类型挖掘与第三阶段痛点诊断</dc:subject>
  <dc:title>武汉城市更新类型挖掘与痛点诊断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93858C29B33D1087257BC86A7398C91A_42</vt:lpwstr>
  </property>
</Properties>
</file>