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7F8E5D">
      <w:pPr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武汉城市更新优选选址建议</w:t>
      </w:r>
    </w:p>
    <w:p w14:paraId="45BB95B9">
      <w:pPr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——洪山区・南湖硅巷片区（AI赋能城市更新示范样本）</w:t>
      </w:r>
    </w:p>
    <w:p w14:paraId="53EB5412"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一、项目概况</w:t>
      </w:r>
    </w:p>
    <w:p w14:paraId="29B3160A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选址范围：洪山区珞狮路—书城路—文治街—南湖大道围合片区（武汉理工大学南湖校区周边、原北港工业园及周边老旧住区）项目属性：武汉市城市更新重点片区、环大学创新经济带核心节点、低效空间盘活示范项目研究支撑：匹配人工智能赋能城市更新潜力识别、多维评估、智能决策全流程技术落地，可直接形成可复制、可推广的实施模式。</w:t>
      </w:r>
    </w:p>
    <w:p w14:paraId="4D2E7C9E"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二、更新必要性</w:t>
      </w:r>
    </w:p>
    <w:p w14:paraId="1FFEA65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1.战略价值：</w:t>
      </w:r>
      <w:r>
        <w:rPr>
          <w:rFonts w:hint="eastAsia" w:ascii="宋体" w:hAnsi="宋体" w:eastAsia="宋体" w:cs="宋体"/>
          <w:sz w:val="24"/>
          <w:szCs w:val="24"/>
        </w:rPr>
        <w:t>政策与区位双重高地</w:t>
      </w:r>
    </w:p>
    <w:p w14:paraId="517C745F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纳入武汉市首批80个城市更新重点片区，市区两级政策、资金、审批全支持。紧邻华中科技大学、武汉理工大学，处于光谷科创大走廊与武昌科教资源集聚区交汇点，是武汉“大学+城市”深度融合的关键承载区。</w:t>
      </w:r>
    </w:p>
    <w:p w14:paraId="63E351D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符合城市高质量发展、存量更新、15分钟生活圈建设等国家与市级导向。</w:t>
      </w:r>
    </w:p>
    <w:p w14:paraId="70D03F4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2.空间价值：</w:t>
      </w:r>
      <w:r>
        <w:rPr>
          <w:rFonts w:hint="eastAsia" w:ascii="宋体" w:hAnsi="宋体" w:eastAsia="宋体" w:cs="宋体"/>
          <w:sz w:val="24"/>
          <w:szCs w:val="24"/>
        </w:rPr>
        <w:t>低效特征典型、潜力极高</w:t>
      </w:r>
    </w:p>
    <w:p w14:paraId="7E91C8A0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现状以老旧厂房、低效商住、老旧宿舍、功能错配街区为主，空间利用粗放、产出效益偏低。地块规整、边界清晰、连片度高，最适合开展潜力识别、聚类分型、痛点诊断等AI量化评估。公共服务短板突出：养老、托育、文体、停车、慢行系统不足，更新需求刚性、民生效益显著。</w:t>
      </w:r>
    </w:p>
    <w:p w14:paraId="6A73854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3.治理价值：</w:t>
      </w:r>
      <w:r>
        <w:rPr>
          <w:rFonts w:hint="eastAsia" w:ascii="宋体" w:hAnsi="宋体" w:eastAsia="宋体" w:cs="宋体"/>
          <w:sz w:val="24"/>
          <w:szCs w:val="24"/>
        </w:rPr>
        <w:t>多主体协同最佳试验场</w:t>
      </w:r>
    </w:p>
    <w:p w14:paraId="39733916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涉及政府、高校、园区运营方、企业、居民等多元主体，诉求清晰、博弈典型，可完整验证多智能体模拟、人机协同决策、利益均衡等核心技术。</w:t>
      </w:r>
    </w:p>
    <w:p w14:paraId="266D76C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校地融合需求迫切，更新后可快速形成校区—园区—社区联动格局，社会综合效益突出。</w:t>
      </w:r>
    </w:p>
    <w:p w14:paraId="0F0FFE7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4.示范价值：</w:t>
      </w:r>
      <w:r>
        <w:rPr>
          <w:rFonts w:hint="eastAsia" w:ascii="宋体" w:hAnsi="宋体" w:eastAsia="宋体" w:cs="宋体"/>
          <w:sz w:val="24"/>
          <w:szCs w:val="24"/>
        </w:rPr>
        <w:t>可复制、可推广、可展示</w:t>
      </w:r>
    </w:p>
    <w:p w14:paraId="1F2711C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以微更新、功能置换、数字赋能为主，不搞大拆大建，模式轻、见效快、风险低。</w:t>
      </w:r>
    </w:p>
    <w:p w14:paraId="4A00FBC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可打造AI驱动城市更新武汉样板，形成可对外输出的标准、流程与系统工具。</w:t>
      </w:r>
    </w:p>
    <w:p w14:paraId="21D1881E"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三、更新成本</w:t>
      </w:r>
    </w:p>
    <w:p w14:paraId="23CA56B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1.成本总体判断：</w:t>
      </w:r>
      <w:r>
        <w:rPr>
          <w:rFonts w:hint="eastAsia" w:ascii="宋体" w:hAnsi="宋体" w:eastAsia="宋体" w:cs="宋体"/>
          <w:sz w:val="24"/>
          <w:szCs w:val="24"/>
        </w:rPr>
        <w:t>中等投入、高性价比</w:t>
      </w:r>
    </w:p>
    <w:p w14:paraId="0C36474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无大规模拆迁：以存量建筑改造、功能置换、环境提升、公共空间补短板为主。</w:t>
      </w:r>
    </w:p>
    <w:p w14:paraId="64FB983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产权结构清晰：以国有资产、高校资产、园区资产为主，协调成本远低于城中村与老城核心区。</w:t>
      </w:r>
    </w:p>
    <w:p w14:paraId="250B470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投入集中在“软改造+硬提升”：建筑翻新、管线改造、公共配套、智能系统，无高额征地费用。</w:t>
      </w:r>
    </w:p>
    <w:p w14:paraId="5D052663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2.成本优势</w:t>
      </w:r>
    </w:p>
    <w:p w14:paraId="74F4E87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征收/拆迁成本低：以盘活存量为主，基本不涉及大规模征地。</w:t>
      </w:r>
    </w:p>
    <w:p w14:paraId="4544F32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改造工期短、见效快：6–12个月可形成示范段。</w:t>
      </w:r>
    </w:p>
    <w:p w14:paraId="6E9CEE0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资金来源多元：城市更新专项资金、高校投入、社会资本、区级科创补贴均可覆盖。</w:t>
      </w:r>
    </w:p>
    <w:p w14:paraId="60162AB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后期收益稳定：科创办公租赁、人才公寓、社区商业、公共服务运营可持续回流。</w:t>
      </w:r>
    </w:p>
    <w:p w14:paraId="030D5B45">
      <w:pPr>
        <w:rPr>
          <w:rFonts w:hint="eastAsia" w:ascii="黑体" w:hAnsi="黑体" w:eastAsia="黑体" w:cs="黑体"/>
          <w:b w:val="0"/>
          <w:bCs w:val="0"/>
          <w:sz w:val="28"/>
          <w:szCs w:val="28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</w:rPr>
        <w:t>四、更新方向</w:t>
      </w:r>
    </w:p>
    <w:p w14:paraId="0E646BEB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总体定位</w:t>
      </w:r>
    </w:p>
    <w:p w14:paraId="4FC87AE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环大学科创硅巷+完整居住社区+15分钟优质生活圈以IOD产业导向更新为核心，走“科创赋能、民生改善、校地共生”的轻量更新路径。</w:t>
      </w:r>
    </w:p>
    <w:p w14:paraId="0DB710A6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三大更新方向</w:t>
      </w:r>
    </w:p>
    <w:p w14:paraId="1FCEEB7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>科创产业升级老旧厂房/低效楼宇→科创孵化器、AI研发空间、中试平台、数字经济总部。</w:t>
      </w:r>
    </w:p>
    <w:p w14:paraId="2B9F191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>居住品质提升老旧宿舍/老旧小区→适老化改造、人才公寓、完整社区，补齐民生短板。</w:t>
      </w:r>
    </w:p>
    <w:p w14:paraId="784855E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szCs w:val="24"/>
        </w:rPr>
        <w:t>公共服务优化打通校区—园区—社区壁垒，完善养老、托育、文体、停车、慢行系统，实现公共服务均等化。</w:t>
      </w:r>
    </w:p>
    <w:p w14:paraId="5BDF37FC"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五、更新布局</w:t>
      </w:r>
    </w:p>
    <w:p w14:paraId="2EB67BE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1.核心科创区（原北港工业园、书城路沿线）</w:t>
      </w:r>
    </w:p>
    <w:p w14:paraId="2C9F5CB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功能：科创办公、AI研发、孵化器、数字服务</w:t>
      </w:r>
    </w:p>
    <w:p w14:paraId="74D900C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实施：厂房改造、立面更新、智慧园区建设</w:t>
      </w:r>
    </w:p>
    <w:p w14:paraId="65B43AB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目标：形成片区产业引擎与AI决策系统展示窗口</w:t>
      </w:r>
    </w:p>
    <w:p w14:paraId="268A6E5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2.完整居住社区（武汉理工大周边老旧住区）</w:t>
      </w:r>
    </w:p>
    <w:p w14:paraId="5A35A8B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功能：人才公寓、适老化住宅、社区服务中心</w:t>
      </w:r>
    </w:p>
    <w:p w14:paraId="4460045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实施：加装电梯、管线更新、环境整治、小微绿地</w:t>
      </w:r>
    </w:p>
    <w:p w14:paraId="59898A1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目标：打造宜居宜业的社区底盘</w:t>
      </w:r>
    </w:p>
    <w:p w14:paraId="7DFA46E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3.生活服务走廊（文治街、书城路沿街界面）</w:t>
      </w:r>
    </w:p>
    <w:p w14:paraId="49C504D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功能：社区商业、便民服务、养老托幼、文化展示</w:t>
      </w:r>
    </w:p>
    <w:p w14:paraId="306698D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实施：底层功能置换、慢行优先、界面整治</w:t>
      </w:r>
    </w:p>
    <w:p w14:paraId="50A0AD9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目标：构建15分钟生活圈服务骨架</w:t>
      </w:r>
    </w:p>
    <w:p w14:paraId="1DBEE1D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4.公共空间节点（拆违腾地、见缝插绿）</w:t>
      </w:r>
    </w:p>
    <w:p w14:paraId="01B648D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口袋公园、小微停车场、慢行连廊、共享会客厅</w:t>
      </w:r>
    </w:p>
    <w:p w14:paraId="4B636A0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低成本、高显示度，快速提升片区品质</w:t>
      </w:r>
    </w:p>
    <w:p w14:paraId="66C65E0C"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六、可行性总结</w:t>
      </w:r>
    </w:p>
    <w:p w14:paraId="7A38790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价值最高：</w:t>
      </w:r>
      <w:r>
        <w:rPr>
          <w:rFonts w:hint="eastAsia" w:ascii="宋体" w:hAnsi="宋体" w:eastAsia="宋体" w:cs="宋体"/>
          <w:sz w:val="24"/>
          <w:szCs w:val="24"/>
        </w:rPr>
        <w:t>政策、区位、民生、科创、示范五位一体，综合效益突出。</w:t>
      </w:r>
    </w:p>
    <w:p w14:paraId="30EAC8D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成本最优：</w:t>
      </w:r>
      <w:r>
        <w:rPr>
          <w:rFonts w:hint="eastAsia" w:ascii="宋体" w:hAnsi="宋体" w:eastAsia="宋体" w:cs="宋体"/>
          <w:sz w:val="24"/>
          <w:szCs w:val="24"/>
        </w:rPr>
        <w:t>微更新为主，投入可控、风险低、回报稳。</w:t>
      </w:r>
    </w:p>
    <w:p w14:paraId="53DBBE5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方向最准：</w:t>
      </w:r>
      <w:r>
        <w:rPr>
          <w:rFonts w:hint="eastAsia" w:ascii="宋体" w:hAnsi="宋体" w:eastAsia="宋体" w:cs="宋体"/>
          <w:sz w:val="24"/>
          <w:szCs w:val="24"/>
        </w:rPr>
        <w:t>科创+居住+公共服务同步提升，符合城市更新导向。</w:t>
      </w:r>
    </w:p>
    <w:p w14:paraId="0EBBC80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布局最实：</w:t>
      </w:r>
      <w:r>
        <w:rPr>
          <w:rFonts w:hint="eastAsia" w:ascii="宋体" w:hAnsi="宋体" w:eastAsia="宋体" w:cs="宋体"/>
          <w:sz w:val="24"/>
          <w:szCs w:val="24"/>
        </w:rPr>
        <w:t>空间落位清晰、实施路径明确，可快速启动、快速见效。</w:t>
      </w:r>
    </w:p>
    <w:p w14:paraId="5E5ECD5E">
      <w:pPr>
        <w:rPr>
          <w:rFonts w:hint="eastAsia" w:ascii="宋体" w:hAnsi="宋体" w:eastAsia="宋体" w:cs="宋体"/>
          <w:color w:val="000000"/>
          <w:sz w:val="24"/>
          <w:szCs w:val="24"/>
        </w:rPr>
      </w:pPr>
      <w:bookmarkStart w:id="0" w:name="_GoBack"/>
      <w:r>
        <w:rPr>
          <w:rFonts w:hint="eastAsia" w:ascii="宋体" w:hAnsi="宋体" w:eastAsia="宋体" w:cs="宋体"/>
          <w:b/>
          <w:bCs/>
          <w:sz w:val="24"/>
          <w:szCs w:val="24"/>
        </w:rPr>
        <w:t>技术最适配：</w:t>
      </w:r>
      <w:bookmarkEnd w:id="0"/>
      <w:r>
        <w:rPr>
          <w:rFonts w:hint="eastAsia" w:ascii="宋体" w:hAnsi="宋体" w:eastAsia="宋体" w:cs="宋体"/>
          <w:sz w:val="24"/>
          <w:szCs w:val="24"/>
        </w:rPr>
        <w:t>完美支撑AI潜力识别、多维评估、智能决策全链条落地，可形成标志性成果与示范案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例。</w:t>
      </w:r>
    </w:p>
    <w:p w14:paraId="544CAE41">
      <w:pPr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21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2026-03-26T13:25:51Z</dcterms:created>
  <dc:creator>念</dc:creator>
  <cp:lastModifiedBy>念</cp:lastModifiedBy>
  <dcterms:modified xsi:type="dcterms:W3CDTF">2026-03-26T13:31:06Z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eyJoZGlkIjoiZDhhZmVmN2E3OWUxMjVlYWI5ZTU1YzdiNzk4N2I4MmQiLCJ1c2VySWQiOiIxNjE2NTAyMzYxIn0=</vt:lpwstr>
  </property>
  <property fmtid="{D5CDD505-2E9C-101B-9397-08002B2CF9AE}" pid="4" name="ICV">
    <vt:lpwstr>43331F1BFDB24310BEEAF61420D41319_12</vt:lpwstr>
  </property>
</Properties>
</file>