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4"/>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Fonts w:hint="eastAsia" w:ascii="思源宋体" w:hAnsi="思源宋体" w:eastAsia="思源宋体" w:cs="思源宋体"/>
          <w:spacing w:val="-8"/>
          <w:sz w:val="32"/>
          <w:szCs w:val="32"/>
        </w:rPr>
        <w:t>国内外研究现状和发展动态</w:t>
      </w:r>
    </w:p>
    <w:p w14:paraId="38E540C9">
      <w:pPr>
        <w:rPr>
          <w:rFonts w:hint="eastAsia"/>
          <w:lang w:val="en-US" w:eastAsia="zh-CN"/>
        </w:rPr>
      </w:pPr>
    </w:p>
    <w:p w14:paraId="7B9BEB4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随着全球城镇化进程推进，城市更新已成为破解发展瓶颈、实现高品质发展的核心路径。相关研究在潜力评估、低效识别与多主体决策三个维度持续深化，但仍存在结构性缺口，三者互为因果，亟需一体化突破。</w:t>
      </w:r>
    </w:p>
    <w:p w14:paraId="77A41D6F">
      <w:pPr>
        <w:rPr>
          <w:rFonts w:hint="eastAsia"/>
          <w:lang w:val="en-US" w:eastAsia="zh-CN"/>
        </w:rPr>
      </w:pPr>
    </w:p>
    <w:p w14:paraId="2A82E5E3">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潜力评估：从单一指标走向多维整合，但内外割裂制约系统认知</w:t>
      </w:r>
    </w:p>
    <w:p w14:paraId="312E65D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753403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城市更新潜力评估经历了从单指标判定到多指标综合的范式演进。早期研究多依赖建筑年代、容积率、地价等单一物质属性，随着存量规划理念深化，学界逐步认识到更新潜力是物理空间、社会经济、文化价值等多维因素共同作用的结果。国内研究已从建成区物理空间整治拓展至多源数据融合评估，部分学者整合Landsat遥感影像、网络POI、普查数据等开放数据，构建涵盖建筑质量、交通便捷性、公共服务覆盖等多维度因子的指标体系，通过层次分析法（AHP）确定权重实现量化与可视化。以上海为实证的研究进一步显示，建筑面积总和、建成年代、至市中心距离、房价是影响更新潜力的关键因子，高潜力区域呈中心城区集聚与郊区中心点状分布特征。国际研究更早关注多维度价值平衡，伦敦、巴黎、柏林等城市通过构建涵盖社区发展、土地利用、绿色韧性等指标的绩效监测体系划定更新区域，为精准施策奠定基础。以德国杜塞尔多夫为案例的研究，通过语义分割提取像素级信息，构建包含绿色度、开放度、安全、压抑等多维感知指标体系，结合空间设计网络分析（sDNA）量化步行潜力，实现三级更新优先级识别。</w:t>
      </w:r>
    </w:p>
    <w:p w14:paraId="3ADB219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34854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然而，现有潜力评估存在明显的"内外割裂"问题：物质空间维度（建筑风貌、街巷形态、环境秩序）与社会感知维度（居民情感、文化记忆、场所依恋）的评估各自为政，缺乏统一理论框架将二者整合。物质空间评估侧重遥感影像与GIS量化，社会感知评估依赖问卷与访谈，两者在方法论与数据层面难以对话，导致对城市更新空间的认知停留在"外显症状"与"内隐需求"相互脱节的阶段。国际研究中街景图像的情感感知尝试（如通过HRNetV2语义分割模型提取视觉指标与情感指标，结合PBL-BPNN模型提升评估精度）虽部分弥合了这一裂隙，但尚未形成系统性多维整合方案。国内段进院士提出的"空间基因"理论虽从自然—人文互动视角拓展了分析维度，但空间基因识别多依赖人工编码与定性归类，缺乏统一量化标准，也难以同时涵盖物质属性与感知价值。</w:t>
      </w:r>
    </w:p>
    <w:p w14:paraId="145F75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438FA2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课题针对这一缺口，提出"6+1"多维评价体系，以"时间沉积"为统一框架，将街巷空间与交通通达、建筑风貌与界面品质、便民生活与服务韧性、环境秩序与生态韧性、公共安全与心理感知、场所氛围与情感价值六项实体空间维度，与针灸式更新潜力维度整合为有机整体。该体系以计算城市科学、视觉城市主义、时间地理学、环境心理学为理论基础，将所有指标统一视为"时间在空间中的当前沉积状态"，物质空间的外显特征与社会感知的内隐评价统一于同一时间截面，实现内外联动的系统性认知。体系全程适配AI图像语义识别、BERT情感打分、POI空间量化与GIS高精度可视化，保障从评估到决策的全链路自动化。</w:t>
      </w:r>
    </w:p>
    <w:p w14:paraId="112264C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4B75BD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b/>
          <w:kern w:val="2"/>
          <w:sz w:val="24"/>
          <w:szCs w:val="24"/>
          <w:lang w:val="en-US" w:eastAsia="zh-CN" w:bidi="ar-SA"/>
        </w:rPr>
      </w:pPr>
      <w:r>
        <w:rPr>
          <w:rFonts w:hint="default" w:ascii="宋体" w:hAnsi="宋体" w:eastAsia="宋体" w:cs="宋体"/>
          <w:b/>
          <w:kern w:val="2"/>
          <w:sz w:val="24"/>
          <w:szCs w:val="24"/>
          <w:lang w:val="en-US" w:eastAsia="zh-CN" w:bidi="ar-SA"/>
        </w:rPr>
        <w:t>（二）低效识别：分类技术日趋成熟，但有类无因制约精准施策</w:t>
      </w:r>
    </w:p>
    <w:p w14:paraId="0E15240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B24A4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低效空间识别领域，数据驱动的分类方法已取得显著进展。国内研究融合多源大数据与机器学习算法，通过高斯混合模型（GMM）聚类、随机森林预测等方法实现更新空间的精细化分类。以武汉大白沙地区为实证的"留改拆"单元智能识别研究，采用面向对象的UNet3+网络模型，融合全尺度特征信息与混合损失函数，总体精度达62.90%至84.80%，漏检率低至1.3%至2.80%，有效降低了人工成本。面向中小城市，整合POI、空间形态数据、夜间灯光数据及社交媒体文本的分析框架，通过ArcGIS核密度分析、Depthmap空间句法、BERT-TFIDF混合模型情感分析等工具，实现了低效空间识别、业态供需失衡诊断与文化基因挖掘。以龙泉市中心城区为实证的研究显示，空间句法与核密度分析可定位"高需求—低可达"区域，Apriori关联规则挖掘能降低商业设施供需失衡率。国际研究中，Delmelle将邻里社会经济水平作为空间基因外显性状，通过聚类分析重构芝加哥和洛杉矶邻里社区时空演化轨迹，展示了机器学习在空间分类中的潜力。针对后工业城市需求，国外形成以城市结构计算分析为核心的量化范式，构建涵盖五大核心要素及24项关联指标的评估框架。</w:t>
      </w:r>
    </w:p>
    <w:p w14:paraId="5CC7538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FCB906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上述研究虽能有效实现空间分类，但普遍存在"有类无因"的深层局限：模型能够输出"哪些区域属于低效空间"的分类结果，却难以解释"这些区域为何低效"的成因机制。当前方法多依赖遥感光谱与空间形态特征进行分类，未将时间维度的累积效应纳入分析框架。空间低效往往不是瞬时状态，而是长期维护缺失、非正规增建累积、功能老化、社区活力衰减等多重时间过程的产物。缺乏对成因的解释能力，使得更新策略停留在"对症治疗"层面，难以实现"病因诊断"驱动的精准干预。此外，多数基于单时点静态数据的方法难以动态追踪演化轨迹，对"隐性更新"识别能力弱，进一步限制了分类结果的政策转化价值。</w:t>
      </w:r>
    </w:p>
    <w:p w14:paraId="76ED9D4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259001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课题通过引入"时间沉积"概念破解这一困境。TTI2.0时空厚度指数将各指标按视觉可辨识的时间尺度层级归类，赋予不同时态权重——地质超长尺度（古树名木）、历史建筑尺度（约30年以上风貌）、代际尺度（10至30年乔木与公共艺术品）、当代表现尺度（2至10年的非正规服务点与违规搭建）、即时季节尺度（2年以内的自发绿化与临时商业外摆）——使聚类结果不仅能够识别低效空间，更能够追溯不同时间尺度的要素叠合模式，实现从"分类"到"因果诊断"的跨越。同时，"6+1"体系中30项指标的可计算映射字典为每个指标赋予了明确的时间属性：例如"车行路面破损率"定义为"维护缺失的时间累积"，"违规搭建覆盖率"定义为"非正规增建的时间累加"，"外挂管线杂乱度"定义为"后期功能附加的时间堆积"。这种将空间指标还原为时间过程的设计，从根本上增强了识别结果的可解释性，使更新策略能够精准对应不同时间尺度的成因机制。</w:t>
      </w:r>
    </w:p>
    <w:p w14:paraId="3DDCB93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3217DC8">
      <w:pPr>
        <w:pStyle w:val="4"/>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（三）多主体博弈：模拟研究持续深入，但与空间数据脱节制约决策有效性</w:t>
      </w:r>
    </w:p>
    <w:p w14:paraId="62CD974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568DBF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城市更新涉及政府、开发商、居民、商户等多方利益主体，多主体博弈分析已成为更新决策研究的核心议题。国内研究已从单一主体主导视角转向多主体参与模式探索，部分研究尝试纳入政府、企业、居民等多主体因素，分析更新过程中的利益博弈与协商机制。伴随新一代人工智能技术发展，大语言模型与深度学习的融合为复杂利益博弈的智能解决方案提供了新思路。国际上，"平台城市主义""数字孪生城市"等理念强调多方利益协调与数据驱动的协同治理，相关研究构建"物理空间数字化升级—社会空间流动性重塑—数字空间交互渗透"框架，探索AI对城市更新决策的重构效应，为我国更新数字化转型提供借鉴。</w:t>
      </w:r>
    </w:p>
    <w:p w14:paraId="52E11FE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B51925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然而，现有博弈研究存在与空间数据脱节的突出问题。多主体博弈模型多基于抽象假设构建，博弈参与者的行为参数——如居民搬迁意愿、开发商投资回报预期、政府公共财政约束——缺乏空间实证数据的校准，导致模拟结果与实际空间决策之间存在显著偏差。博弈模型能够推演不同策略下的均衡结果，却无法将推演落回到具体的空间单元：哪一栋建筑适合微更新、哪一条街巷需要功能置换、哪一片区域适宜较大力度的拆除重建，博弈模型无法回答这一根本性的空间决策问题。此外，现有研究对非空间维度（如政治意愿、社区参与）整合不足，算法优化与参与式更新之间的张力——量化效率与本土知识的平衡——也尚待破解。</w:t>
      </w:r>
    </w:p>
    <w:p w14:paraId="50ED8A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61FFF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课题提出"诊断驱动博弈"路径，将"6+1"体系的空间诊断结果作为多主体博弈模型的输入层。具体而言，TTI时空厚度图与更新潜力分级图提供每个空间单元的精准诊断信息（包括各维度的得分、时间叠合模式与更新优先级），博弈模型基于这些信息设定各空间单元的多主体博弈初始条件与约束参数，使博弈推演从抽象走向具体。TTI高值区指示多时代要素叠合的"时间琥珀"，博弈模型据此约束大规模拆除行为，引导各方在微更新路径上协商；TTI中值区具备一定历史厚度，博弈模型设定适度的功能置换选项；TTI低值区空间时间积淀较浅，允许较大力度的功能优化博弈。这一思路将空间诊断嵌入博弈决策，弥补了多主体博弈与空间实证之间的裂隙，使更新决策兼具空间精准性与利益协调性。</w:t>
      </w:r>
    </w:p>
    <w:p w14:paraId="3A1FFB2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b/>
          <w:kern w:val="2"/>
          <w:sz w:val="24"/>
          <w:szCs w:val="24"/>
          <w:lang w:val="en-US" w:eastAsia="zh-CN" w:bidi="ar-SA"/>
        </w:rPr>
      </w:pPr>
    </w:p>
    <w:p w14:paraId="2CBDBAB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宋体" w:hAnsi="宋体" w:eastAsia="宋体" w:cs="宋体"/>
          <w:b/>
          <w:kern w:val="2"/>
          <w:sz w:val="24"/>
          <w:szCs w:val="24"/>
          <w:lang w:val="en-US" w:eastAsia="zh-CN" w:bidi="ar-SA"/>
        </w:rPr>
      </w:pPr>
      <w:r>
        <w:rPr>
          <w:rFonts w:hint="default" w:ascii="宋体" w:hAnsi="宋体" w:eastAsia="宋体" w:cs="宋体"/>
          <w:b/>
          <w:kern w:val="2"/>
          <w:sz w:val="24"/>
          <w:szCs w:val="24"/>
          <w:lang w:val="en-US" w:eastAsia="zh-CN" w:bidi="ar-SA"/>
        </w:rPr>
        <w:t>（四）三个缺口的逻辑关联与研究展望</w:t>
      </w:r>
    </w:p>
    <w:p w14:paraId="65FD9E8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51E0E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上述三个缺口并非各自孤立，而是构成一条互为因果的逻辑链条。内外割裂导致评估体系无法同时捕捉物质空间的外显特征与居民感知的内隐需求，使得低效识别只能依赖外在指标进行分类而无法追溯内在成因（评估缺口→识别缺口）；缺乏成因解释则使多主体博弈模型失去可靠的实证输入，只能在抽象假设层面运行（识别缺口→决策缺口）；而博弈模型与空间数据的脱节又反过来强化了内外割裂——决策者无法将社会协商结果映射回具体的物质空间操作，进一步固化了评估体系中物质与社会维度的分离（决策缺口→评估缺口）。三个缺口相互锁定，形成"评估不系统→识别不解释→决策不落地"的恶性循环。</w:t>
      </w:r>
    </w:p>
    <w:p w14:paraId="518D13F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2D7C0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从发展动态来看，城市更新研究正从单一物质空间改造转向多维价值协同，从静态经验判断转向数据驱动，从单一主体主导转向多主体协同决策。融合多源大数据、人工智能、复杂网络分析等技术，构建"潜力识别→类型挖掘→机理诊断→智能决策"一体化框架，已成为研究热点与趋势。"数字孪生""量子城市"等理念推动更新识别向高精度、动态化、智能化演进，平衡AI效率与社会公平、深化物理—社会—数字空间交互机理研究、融入人类感知与街景视角维度，是国内外研究的核心议题。</w:t>
      </w:r>
    </w:p>
    <w:p w14:paraId="5AC4F1D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D0C52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课题基于武汉华安里1km²微型老旧街区的实证，构建"6+1"评价体系与TTI2.0时空厚度指数，以"时间沉积"为理论内核，将上述三个缺口统一纳入一体化框架：通过多维整合破解内外割裂，实现物质空间与社会感知的统一评估（对应段一）；通过时间属性赋值与可解释指标体系，实现分类与因果诊断的统一（对应段二）；通过空间诊断驱动多主体博弈，实现空间精准性与利益协调性的统一（对应段三）。三个环节首尾贯通，旨在推动城市更新研究向智能化、精准化、系统化方向迈进。</w:t>
      </w:r>
    </w:p>
    <w:p w14:paraId="4C6A5A3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ECA29B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D28F94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140FF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C2DE4B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B24FA03">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br w:type="page"/>
      </w:r>
    </w:p>
    <w:p w14:paraId="6D0E1F3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2D50A2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1E516C0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中文文献：</w:t>
      </w:r>
    </w:p>
    <w:p w14:paraId="0C6353A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C45BD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1.《空间基因理论下城市更新潜力空间智能识别方法——以上海为例》（苗丝雨、张羽关、肖扬，《城市规划学刊》，2025）</w:t>
      </w:r>
    </w:p>
    <w:p w14:paraId="191B529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2.《城市空间重构：人工智能背景下的规划机遇》（中国城市规划学会，2025）</w:t>
      </w:r>
    </w:p>
    <w:p w14:paraId="6D697A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3.《基于开放数据的城市更新潜力地区识别方法研究——以盐城市盐都区中心城区为例》（刘竹阳等，《城市学报》，2024）</w:t>
      </w:r>
    </w:p>
    <w:p w14:paraId="150A5B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4.《大数据赋能公共空间品质提升：以龙泉市中心城区为例》（杨星福，《工程设计与施工》，2025）</w:t>
      </w:r>
    </w:p>
    <w:p w14:paraId="256F73A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5.《基于人工智能和遥感技术的城市更新单元识别方法研究及应用》（白婷、邓实权、孙开敏，《自然资源学报》，2023）</w:t>
      </w:r>
    </w:p>
    <w:p w14:paraId="68AB7D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6CE01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761F93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外文文献：</w:t>
      </w:r>
    </w:p>
    <w:p w14:paraId="63E5844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A9261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《Towards Optimizing Urban Regeneration in Post-Industrial Cities via Computational Analysis of Digitized Urban Structures》（Kepczynska-Walczak 等，ECADE 2025 Conference）</w:t>
      </w:r>
    </w:p>
    <w:p w14:paraId="41A5F2C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《An Intelligent Method for Identifying Urban Renewal Potential Based on Spatial Gene Theory: A Case Study of Shanghai》（Miao Siyu 等，Urban Planning International，2025）</w:t>
      </w:r>
    </w:p>
    <w:p w14:paraId="79E5346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《Extracting human perceptions from street view images for better assessing urban renewal potential》（He J, Zhang J, Yao Y et al.，Cities，2023 年，Vol.134，104189）</w:t>
      </w:r>
    </w:p>
    <w:p w14:paraId="7539854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《Using deep learning to unravel the structural evolution of block-scale green spaces in urban renewal》（Zhou C, Zhang S, Liu B et al.，Cities，2024 年，Vol.150，105030）</w:t>
      </w:r>
    </w:p>
    <w:p w14:paraId="4BD733D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《Measuring streetscape perceptions from driveways and sidewalks to inform pedestrian-oriented street renewal in Düsseldorf》（Rui J，Cities，2023 年，Vol.141，104472）</w:t>
      </w:r>
    </w:p>
    <w:p w14:paraId="25E0F9E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bookmarkStart w:id="0" w:name="_GoBack"/>
      <w:bookmarkEnd w:id="0"/>
    </w:p>
    <w:p w14:paraId="42B7A44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DC828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4DC0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C236DB1">
      <w:pPr>
        <w:rPr>
          <w:sz w:val="24"/>
          <w:szCs w:val="24"/>
        </w:rPr>
      </w:pPr>
    </w:p>
    <w:sectPr>
      <w:footnotePr>
        <w:numFmt w:val="decimalEnclosedCircleChines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小标宋简体">
    <w:panose1 w:val="02010601030101010101"/>
    <w:charset w:val="86"/>
    <w:family w:val="auto"/>
    <w:pitch w:val="default"/>
    <w:sig w:usb0="00000001" w:usb1="080E0000" w:usb2="00000000" w:usb3="00000000" w:csb0="00040000" w:csb1="00000000"/>
  </w:font>
  <w:font w:name="思源宋体">
    <w:altName w:val="宋体"/>
    <w:panose1 w:val="02020400000000000000"/>
    <w:charset w:val="86"/>
    <w:family w:val="auto"/>
    <w:pitch w:val="default"/>
    <w:sig w:usb0="00000000" w:usb1="00000000" w:usb2="00000016" w:usb3="00000000" w:csb0="602E0107"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201B29"/>
    <w:multiLevelType w:val="singleLevel"/>
    <w:tmpl w:val="73201B2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BB5988"/>
    <w:rsid w:val="05C0366A"/>
    <w:rsid w:val="0B957346"/>
    <w:rsid w:val="14E1184E"/>
    <w:rsid w:val="160752E5"/>
    <w:rsid w:val="17BB5988"/>
    <w:rsid w:val="18750B4F"/>
    <w:rsid w:val="1A2073DB"/>
    <w:rsid w:val="23757D31"/>
    <w:rsid w:val="24E9651D"/>
    <w:rsid w:val="25423C43"/>
    <w:rsid w:val="26875258"/>
    <w:rsid w:val="283E3778"/>
    <w:rsid w:val="2A067935"/>
    <w:rsid w:val="2A9F5694"/>
    <w:rsid w:val="32001FA4"/>
    <w:rsid w:val="3C14526D"/>
    <w:rsid w:val="3C406CD7"/>
    <w:rsid w:val="3FD634AE"/>
    <w:rsid w:val="433E3844"/>
    <w:rsid w:val="49066BB2"/>
    <w:rsid w:val="49193067"/>
    <w:rsid w:val="4E8A3CF2"/>
    <w:rsid w:val="4EBC58A3"/>
    <w:rsid w:val="4EF92416"/>
    <w:rsid w:val="51A60F32"/>
    <w:rsid w:val="51DA5080"/>
    <w:rsid w:val="54183FF5"/>
    <w:rsid w:val="54604B6C"/>
    <w:rsid w:val="562763BA"/>
    <w:rsid w:val="5A9A1850"/>
    <w:rsid w:val="5B9851AD"/>
    <w:rsid w:val="5BBD7710"/>
    <w:rsid w:val="5CCE728A"/>
    <w:rsid w:val="5E285CB4"/>
    <w:rsid w:val="5F5A7116"/>
    <w:rsid w:val="61306A6A"/>
    <w:rsid w:val="630A6E47"/>
    <w:rsid w:val="65E404BC"/>
    <w:rsid w:val="6AAC4B4D"/>
    <w:rsid w:val="6AB563B2"/>
    <w:rsid w:val="6AB93C0C"/>
    <w:rsid w:val="6C232C32"/>
    <w:rsid w:val="708C3591"/>
    <w:rsid w:val="72C167D6"/>
    <w:rsid w:val="76B63116"/>
    <w:rsid w:val="79334EF2"/>
    <w:rsid w:val="79F3730B"/>
    <w:rsid w:val="7B71246A"/>
    <w:rsid w:val="7B721C58"/>
    <w:rsid w:val="7C1032C9"/>
    <w:rsid w:val="7D2F3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微软雅黑" w:hAnsi="微软雅黑" w:eastAsia="微软雅黑" w:cs="微软雅黑"/>
      <w:sz w:val="19"/>
      <w:szCs w:val="19"/>
      <w:lang w:val="en-US" w:eastAsia="en-US" w:bidi="ar-SA"/>
    </w:rPr>
  </w:style>
  <w:style w:type="paragraph" w:styleId="6">
    <w:name w:val="footnote text"/>
    <w:basedOn w:val="1"/>
    <w:qFormat/>
    <w:uiPriority w:val="0"/>
    <w:pPr>
      <w:snapToGrid w:val="0"/>
      <w:jc w:val="left"/>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footnote reference"/>
    <w:basedOn w:val="10"/>
    <w:qFormat/>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4340</Words>
  <Characters>5069</Characters>
  <Lines>0</Lines>
  <Paragraphs>0</Paragraphs>
  <TotalTime>1</TotalTime>
  <ScaleCrop>false</ScaleCrop>
  <LinksUpToDate>false</LinksUpToDate>
  <CharactersWithSpaces>5168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2025-06-19T16:03:00Z</dcterms:created>
  <dc:creator>Z-zz.</dc:creator>
  <cp:lastModifiedBy>赣北庐陵人</cp:lastModifiedBy>
  <dcterms:modified xsi:type="dcterms:W3CDTF">2026-05-24T05:51:22Z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57FABEEB5658DD25937AAE6946CB4E55_43</vt:lpwstr>
  </property>
  <property fmtid="{D5CDD505-2E9C-101B-9397-08002B2CF9AE}" pid="4" name="KSOTemplateDocerSaveRecord">
    <vt:lpwstr>eyJoZGlkIjoiYjkyZmNhZmMwYTRkMzdjNDc0ZDBiODA4ZTNmNjg2YzYiLCJ1c2VySWQiOiIxMTY4Mzk1OTQ0In0=</vt:lpwstr>
  </property>
</Properties>
</file>