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59EA8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第2章 国民收入决定理论</w:t>
      </w:r>
    </w:p>
    <w:p w14:paraId="0CC6D96D">
      <w:pPr>
        <w:rPr>
          <w:rFonts w:ascii="宋体" w:hAnsi="宋体" w:eastAsia="宋体" w:cs="宋体"/>
          <w:sz w:val="24"/>
        </w:rPr>
      </w:pPr>
    </w:p>
    <w:p w14:paraId="438FE0C5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1、凯恩斯主义关于均衡国民收入决定的基本原理是（</w:t>
      </w:r>
      <w:r>
        <w:rPr>
          <w:rFonts w:hint="eastAsia" w:ascii="宋体" w:hAnsi="宋体" w:eastAsia="宋体" w:cs="宋体"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</w:rPr>
        <w:t>）</w:t>
      </w:r>
    </w:p>
    <w:p w14:paraId="01AECBEC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A.总供给水平决定均衡国民收入水平     B.总需求水平决定均衡国民收入水平</w:t>
      </w:r>
    </w:p>
    <w:p w14:paraId="29D1D4DB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C.消费水平决定均衡国民收入水平   D.总供给水平和总需求水平同时决定均衡</w:t>
      </w:r>
    </w:p>
    <w:p w14:paraId="71DFB145">
      <w:pPr>
        <w:rPr>
          <w:rFonts w:ascii="宋体" w:hAnsi="宋体" w:eastAsia="宋体" w:cs="宋体"/>
          <w:sz w:val="24"/>
        </w:rPr>
      </w:pPr>
    </w:p>
    <w:p w14:paraId="2DA0A17F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2、当消费函数为C=a+by,a&gt;0，0&lt;b&lt;1时，这表明，平均消费倾向(</w:t>
      </w:r>
      <w:r>
        <w:rPr>
          <w:rFonts w:hint="eastAsia" w:ascii="宋体" w:hAnsi="宋体" w:eastAsia="宋体" w:cs="宋体"/>
          <w:sz w:val="24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</w:rPr>
        <w:t>)。</w:t>
      </w:r>
    </w:p>
    <w:p w14:paraId="06606187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A.大于边际消费倾向              B.小于边际消费倾向</w:t>
      </w:r>
    </w:p>
    <w:p w14:paraId="3A8A2A19">
      <w:r>
        <w:rPr>
          <w:rFonts w:hint="eastAsia" w:ascii="宋体" w:hAnsi="宋体" w:eastAsia="宋体" w:cs="宋体"/>
          <w:sz w:val="24"/>
        </w:rPr>
        <w:t>C.等于边际消费倾向              D.以上三种情况都有可能</w:t>
      </w:r>
    </w:p>
    <w:p w14:paraId="320177DC">
      <w:pPr>
        <w:rPr>
          <w:rFonts w:ascii="宋体" w:hAnsi="宋体" w:eastAsia="宋体" w:cs="宋体"/>
          <w:sz w:val="24"/>
        </w:rPr>
      </w:pPr>
    </w:p>
    <w:p w14:paraId="1C3C154D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3、假设储蓄函数的形式为S=-400+0.25Y</w:t>
      </w:r>
      <w:r>
        <w:rPr>
          <w:rFonts w:ascii="宋体" w:hAnsi="宋体" w:eastAsia="宋体" w:cs="宋体"/>
          <w:sz w:val="24"/>
        </w:rPr>
        <w:t>d</w:t>
      </w:r>
      <w:r>
        <w:rPr>
          <w:rFonts w:hint="eastAsia" w:ascii="宋体" w:hAnsi="宋体" w:eastAsia="宋体" w:cs="宋体"/>
          <w:sz w:val="24"/>
        </w:rPr>
        <w:t>，边际所得税率为t=0.2。如果均衡水平的收入增加1000，那么消费会变化(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C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)。</w:t>
      </w:r>
    </w:p>
    <w:p w14:paraId="4809F4C7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A.250          B.400        C.600        D.750</w:t>
      </w:r>
    </w:p>
    <w:p w14:paraId="41005869">
      <w:pPr>
        <w:rPr>
          <w:rFonts w:ascii="宋体" w:hAnsi="宋体" w:eastAsia="宋体" w:cs="宋体"/>
          <w:sz w:val="24"/>
        </w:rPr>
      </w:pPr>
    </w:p>
    <w:p w14:paraId="454C9BC5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4、如果边际消费倾向为1.3，那么，边际储蓄倾向为(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A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)。</w:t>
      </w:r>
    </w:p>
    <w:p w14:paraId="2700B66D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A.-0.3          B.0         C.0.3        D.0.7</w:t>
      </w:r>
    </w:p>
    <w:p w14:paraId="61632F9D">
      <w:pPr>
        <w:rPr>
          <w:rFonts w:ascii="宋体" w:hAnsi="宋体" w:eastAsia="宋体" w:cs="宋体"/>
          <w:sz w:val="24"/>
        </w:rPr>
      </w:pPr>
    </w:p>
    <w:p w14:paraId="352686D5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5、下列说法正确的是(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C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</w:t>
      </w:r>
    </w:p>
    <w:p w14:paraId="220F6954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A.MPC与MPS成正比                  B.MPC+APC=1</w:t>
      </w:r>
    </w:p>
    <w:p w14:paraId="44488E16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C.MPC+MPS=APC+APS                   D.MPC+MPS&gt;APC+APS</w:t>
      </w:r>
    </w:p>
    <w:p w14:paraId="2E7FC247">
      <w:pPr>
        <w:rPr>
          <w:rFonts w:ascii="宋体" w:hAnsi="宋体" w:eastAsia="宋体" w:cs="宋体"/>
          <w:sz w:val="24"/>
        </w:rPr>
      </w:pPr>
    </w:p>
    <w:p w14:paraId="764CE0ED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6. 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A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)将导致经济有最大增长。</w:t>
      </w:r>
    </w:p>
    <w:p w14:paraId="7E5DDAB5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A.政府增加购买50亿元商品和劳务</w:t>
      </w:r>
    </w:p>
    <w:p w14:paraId="719C4045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B.政府增加50亿元税收然后将其全部用于购买商品和劳务</w:t>
      </w:r>
    </w:p>
    <w:p w14:paraId="125A9446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C.减少50亿元税收</w:t>
      </w:r>
    </w:p>
    <w:p w14:paraId="37F708FD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D.政府增加购买50亿元，其中20亿元由增加的税收支付</w:t>
      </w:r>
    </w:p>
    <w:p w14:paraId="1B20974C">
      <w:pPr>
        <w:rPr>
          <w:rFonts w:ascii="宋体" w:hAnsi="宋体" w:eastAsia="宋体" w:cs="宋体"/>
          <w:sz w:val="24"/>
        </w:rPr>
      </w:pPr>
    </w:p>
    <w:p w14:paraId="4C58F9BA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7、如果边际消费倾向为0.8，政府购买支出增加200亿元，则可以使国民收入(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C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</w:t>
      </w:r>
    </w:p>
    <w:p w14:paraId="0C713A7A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A.增加 200亿元                    B.减少 200 亿元</w:t>
      </w:r>
    </w:p>
    <w:p w14:paraId="6EDD0EFE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C.增加 1000 亿元                   D.减少 1000 亿元</w:t>
      </w:r>
    </w:p>
    <w:p w14:paraId="31951AB7">
      <w:pPr>
        <w:rPr>
          <w:rFonts w:ascii="宋体" w:hAnsi="宋体" w:eastAsia="宋体" w:cs="宋体"/>
          <w:sz w:val="24"/>
        </w:rPr>
      </w:pPr>
    </w:p>
    <w:p w14:paraId="402E9C4C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8、若其他情况不变，所得税的征收将会使得(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C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)。</w:t>
      </w:r>
    </w:p>
    <w:p w14:paraId="572EE3D4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A.支出乘数和税收乘数都变大       B.支出乘数增大，税收乘数变小</w:t>
      </w:r>
    </w:p>
    <w:p w14:paraId="3CE71C26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C.支出乘数和税收乘数都变小       D.支出乘数变小，税收乘数增大</w:t>
      </w:r>
    </w:p>
    <w:p w14:paraId="092FB95F">
      <w:pPr>
        <w:rPr>
          <w:rFonts w:ascii="宋体" w:hAnsi="宋体" w:eastAsia="宋体" w:cs="宋体"/>
          <w:sz w:val="24"/>
        </w:rPr>
      </w:pPr>
    </w:p>
    <w:p w14:paraId="06E723A4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9、就定量税而言，税收乘数和转移支付乘数的唯一区别是(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B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)。</w:t>
      </w:r>
    </w:p>
    <w:p w14:paraId="6C4F11E8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A.前者总比后者小1               B.前者为负，后者为正</w:t>
      </w:r>
    </w:p>
    <w:p w14:paraId="306EEE7D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C.后者为负，前者为正             D.二者互为倒数</w:t>
      </w:r>
    </w:p>
    <w:p w14:paraId="2ABFF8F8">
      <w:pPr>
        <w:rPr>
          <w:rFonts w:ascii="宋体" w:hAnsi="宋体" w:eastAsia="宋体" w:cs="宋体"/>
          <w:sz w:val="24"/>
        </w:rPr>
      </w:pPr>
    </w:p>
    <w:p w14:paraId="21BF077B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10、如果边际储蓄倾向为0.3，投资支出增加60亿元，可以预期，这将导致均衡国民收入增加（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D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）</w:t>
      </w:r>
    </w:p>
    <w:p w14:paraId="388EB4CE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A.20亿元        B.60亿元          C.180亿元       D，200亿元</w:t>
      </w:r>
    </w:p>
    <w:p w14:paraId="55BB0260">
      <w:pPr>
        <w:rPr>
          <w:rFonts w:ascii="宋体" w:hAnsi="宋体" w:eastAsia="宋体" w:cs="宋体"/>
          <w:sz w:val="24"/>
        </w:rPr>
      </w:pPr>
    </w:p>
    <w:p w14:paraId="0256F7EB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12、假设边际消费倾向为0.8，如果政府购买支出增加100亿元，同时税收增加100亿元，则会使国民收入(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A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</w:t>
      </w:r>
    </w:p>
    <w:p w14:paraId="5D719A15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A.变大         C.不变          B.变小        D.不确定</w:t>
      </w:r>
    </w:p>
    <w:p w14:paraId="6A30FBCF">
      <w:pPr>
        <w:rPr>
          <w:rFonts w:ascii="宋体" w:hAnsi="宋体" w:eastAsia="宋体" w:cs="宋体"/>
          <w:sz w:val="24"/>
        </w:rPr>
      </w:pPr>
    </w:p>
    <w:p w14:paraId="74391F6B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11、假如某国目前的均衡国民收入为5500亿元。若政府要把国民收入水平提高到6000亿元，在边际消费倾向等于90%的条件下，应增加政府支出(</w:t>
      </w:r>
      <w:r>
        <w:rPr>
          <w:rFonts w:hint="eastAsia" w:ascii="宋体" w:hAnsi="宋体" w:eastAsia="宋体" w:cs="宋体"/>
          <w:sz w:val="24"/>
          <w:lang w:val="en-US" w:eastAsia="zh-CN"/>
        </w:rPr>
        <w:t>A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)亿元。</w:t>
      </w:r>
    </w:p>
    <w:p w14:paraId="4E77494D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A.50           B.450             C.500           D.540</w:t>
      </w:r>
    </w:p>
    <w:p w14:paraId="5143EB5C">
      <w:pPr>
        <w:rPr>
          <w:rFonts w:ascii="宋体" w:hAnsi="宋体" w:eastAsia="宋体" w:cs="宋体"/>
          <w:sz w:val="24"/>
        </w:rPr>
      </w:pPr>
    </w:p>
    <w:p w14:paraId="35A900D7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12、如果投资增加150亿元，边际消费倾向为0.8，那么收入水平将增加（</w:t>
      </w:r>
      <w:r>
        <w:rPr>
          <w:rFonts w:hint="eastAsia" w:ascii="宋体" w:hAnsi="宋体" w:eastAsia="宋体" w:cs="宋体"/>
          <w:sz w:val="24"/>
          <w:lang w:val="en-US" w:eastAsia="zh-CN"/>
        </w:rPr>
        <w:t>C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）</w:t>
      </w:r>
    </w:p>
    <w:p w14:paraId="2F91F878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A.190亿元并保持在这一水平        B.750亿元之后又回到最初水平</w:t>
      </w:r>
    </w:p>
    <w:p w14:paraId="0DF5EE8F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C.750亿元并保持在这一水平        D.150亿元，最后又回到原有水平</w:t>
      </w:r>
    </w:p>
    <w:p w14:paraId="2ECDAB0F">
      <w:pPr>
        <w:rPr>
          <w:rFonts w:ascii="宋体" w:hAnsi="宋体" w:eastAsia="宋体" w:cs="宋体"/>
          <w:sz w:val="24"/>
        </w:rPr>
      </w:pPr>
    </w:p>
    <w:p w14:paraId="23282063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13、在三部门经济中，充分就业的国民收入是2 000亿元，消费支出在充分就业的国民收入水平上是1 700元，1和G的和在任何国民收入水平上都是200亿元，MPC为3/4，则均衡国民收入等于(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C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</w:t>
      </w:r>
    </w:p>
    <w:p w14:paraId="556F49CF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A.2000亿元    B.1900亿元      C.1600亿元        D.1700亿元</w:t>
      </w:r>
    </w:p>
    <w:p w14:paraId="296F6DDB">
      <w:pPr>
        <w:rPr>
          <w:rFonts w:ascii="宋体" w:hAnsi="宋体" w:eastAsia="宋体" w:cs="宋体"/>
          <w:sz w:val="24"/>
        </w:rPr>
      </w:pPr>
    </w:p>
    <w:p w14:paraId="32D6345D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14、根据持久收入消费函数理论，(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B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)之间存在高度的相关性和稳定的函数关系。</w:t>
      </w:r>
    </w:p>
    <w:p w14:paraId="5EA3AA67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A.暂时收入与暂时消费            B.持久收入与持久消费</w:t>
      </w:r>
    </w:p>
    <w:p w14:paraId="47CD0A5C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C.暂时收入与持久消费            D.持久收入与暂时消费</w:t>
      </w:r>
    </w:p>
    <w:p w14:paraId="20133634"/>
    <w:p w14:paraId="1C132702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15、根据生命周期的消费理论，退休期人们的生活水平将会(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  <w:lang w:val="en-US" w:eastAsia="zh-CN"/>
        </w:rPr>
        <w:t>C</w:t>
      </w:r>
      <w:r>
        <w:rPr>
          <w:rFonts w:ascii="宋体" w:hAnsi="宋体" w:eastAsia="宋体" w:cs="宋体"/>
          <w:sz w:val="24"/>
        </w:rPr>
        <w:tab/>
      </w:r>
      <w:r>
        <w:rPr>
          <w:rFonts w:hint="eastAsia" w:ascii="宋体" w:hAnsi="宋体" w:eastAsia="宋体" w:cs="宋体"/>
          <w:sz w:val="24"/>
        </w:rPr>
        <w:t>)</w:t>
      </w:r>
    </w:p>
    <w:p w14:paraId="25CC4175">
      <w:r>
        <w:rPr>
          <w:rFonts w:hint="eastAsia" w:ascii="宋体" w:hAnsi="宋体" w:eastAsia="宋体" w:cs="宋体"/>
          <w:sz w:val="24"/>
        </w:rPr>
        <w:t>A.下降         B.提高           C.不变               D.不确定</w:t>
      </w:r>
    </w:p>
    <w:p w14:paraId="27F7F528"/>
    <w:p w14:paraId="605507EF">
      <w:pPr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二、名词解释</w:t>
      </w:r>
    </w:p>
    <w:p w14:paraId="327F5CD2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1、边际消费倾向</w:t>
      </w:r>
    </w:p>
    <w:p w14:paraId="2D064278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增加一单位可支配收入中用于增加消费的比例，公式MPC=ΔC</w:t>
      </w:r>
      <w:r>
        <w:rPr>
          <w:rFonts w:hint="default" w:ascii="Arial" w:hAnsi="Arial" w:eastAsia="宋体" w:cs="Arial"/>
          <w:sz w:val="24"/>
          <w:lang w:val="en-US" w:eastAsia="zh-CN"/>
        </w:rPr>
        <w:t>÷</w:t>
      </w:r>
      <w:r>
        <w:rPr>
          <w:rFonts w:hint="eastAsia" w:ascii="宋体" w:hAnsi="宋体" w:eastAsia="宋体" w:cs="宋体"/>
          <w:sz w:val="24"/>
          <w:lang w:val="en-US" w:eastAsia="zh-CN"/>
        </w:rPr>
        <w:t>ΔYd</w:t>
      </w:r>
      <w:r>
        <w:rPr>
          <w:rFonts w:hint="eastAsia" w:ascii="宋体" w:hAnsi="宋体" w:eastAsia="宋体" w:cs="宋体"/>
          <w:sz w:val="24"/>
          <w:lang w:val="en-US" w:eastAsia="zh-CN"/>
        </w:rPr>
        <w:t>，0&lt;MPC&lt;1。</w:t>
      </w:r>
    </w:p>
    <w:p w14:paraId="0023CF7C">
      <w:pPr>
        <w:rPr>
          <w:rFonts w:hint="eastAsia" w:ascii="宋体" w:hAnsi="宋体" w:eastAsia="宋体" w:cs="宋体"/>
          <w:sz w:val="24"/>
        </w:rPr>
      </w:pPr>
    </w:p>
    <w:p w14:paraId="5B3DB7F5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2、政府购买乘数</w:t>
      </w:r>
    </w:p>
    <w:p w14:paraId="4F9B8A45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  <w:lang w:val="en-US" w:eastAsia="zh-CN"/>
        </w:rPr>
        <w:t>其他条件不变，政府购买支出变动1单位引起均衡国民收入变动的倍数，</w:t>
      </w:r>
      <w:r>
        <w:rPr>
          <w:rFonts w:hint="default" w:ascii="宋体" w:hAnsi="宋体" w:eastAsia="宋体" w:cs="宋体"/>
          <w:sz w:val="24"/>
          <w:lang w:val="en-US" w:eastAsia="zh-CN"/>
        </w:rPr>
        <w:t>k</w:t>
      </w:r>
      <w:r>
        <w:rPr>
          <w:rFonts w:hint="default" w:ascii="宋体" w:hAnsi="宋体" w:eastAsia="宋体" w:cs="宋体"/>
          <w:sz w:val="24"/>
          <w:vertAlign w:val="subscript"/>
          <w:lang w:val="en-US" w:eastAsia="zh-CN"/>
        </w:rPr>
        <w:t>g</w:t>
      </w:r>
      <w:r>
        <w:rPr>
          <w:rFonts w:hint="eastAsia" w:ascii="宋体" w:hAnsi="宋体" w:eastAsia="宋体" w:cs="宋体"/>
          <w:sz w:val="24"/>
          <w:lang w:val="en-US" w:eastAsia="zh-CN"/>
        </w:rPr>
        <w:t>=1</w:t>
      </w:r>
      <w:r>
        <w:rPr>
          <w:rFonts w:hint="default" w:ascii="Arial" w:hAnsi="Arial" w:eastAsia="宋体" w:cs="Arial"/>
          <w:sz w:val="24"/>
          <w:lang w:val="en-US" w:eastAsia="zh-CN"/>
        </w:rPr>
        <w:t>÷</w:t>
      </w:r>
      <w:r>
        <w:rPr>
          <w:rFonts w:hint="eastAsia" w:ascii="宋体" w:hAnsi="宋体" w:eastAsia="宋体" w:cs="宋体"/>
          <w:sz w:val="24"/>
          <w:lang w:val="en-US" w:eastAsia="zh-CN"/>
        </w:rPr>
        <w:t>（1-</w:t>
      </w:r>
      <w:r>
        <w:rPr>
          <w:rFonts w:hint="default" w:ascii="宋体" w:hAnsi="宋体" w:eastAsia="宋体" w:cs="宋体"/>
          <w:sz w:val="24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lang w:val="en-US" w:eastAsia="zh-CN"/>
        </w:rPr>
        <w:t>）</w:t>
      </w:r>
      <w:r>
        <w:rPr>
          <w:rFonts w:hint="default" w:ascii="宋体" w:hAnsi="宋体" w:eastAsia="宋体" w:cs="宋体"/>
          <w:sz w:val="24"/>
          <w:lang w:val="en-US" w:eastAsia="zh-CN"/>
        </w:rPr>
        <w:t>。</w:t>
      </w:r>
    </w:p>
    <w:p w14:paraId="69C71CED">
      <w:pPr>
        <w:rPr>
          <w:rFonts w:ascii="宋体" w:hAnsi="宋体" w:eastAsia="宋体" w:cs="宋体"/>
          <w:sz w:val="24"/>
        </w:rPr>
      </w:pPr>
    </w:p>
    <w:p w14:paraId="1BB9A08B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3、平衡预算乘数</w:t>
      </w:r>
    </w:p>
    <w:p w14:paraId="67E3B894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  <w:lang w:val="en-US" w:eastAsia="zh-CN"/>
        </w:rPr>
        <w:t>政府同时等额增加（减少）购买支出与定量税收时，国民收入变动额与政府支出变动额的比值；定量税下恒等于1。</w:t>
      </w:r>
    </w:p>
    <w:p w14:paraId="3B50A50D">
      <w:pPr>
        <w:rPr>
          <w:rFonts w:ascii="宋体" w:hAnsi="宋体" w:eastAsia="宋体" w:cs="宋体"/>
          <w:sz w:val="24"/>
        </w:rPr>
      </w:pPr>
    </w:p>
    <w:p w14:paraId="573822A4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4、投资乘数</w:t>
      </w:r>
    </w:p>
    <w:p w14:paraId="1CB574EC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  <w:lang w:val="en-US" w:eastAsia="zh-CN"/>
        </w:rPr>
        <w:t>自发投资变动1单位引发均衡国民收入变动的倍数，</w:t>
      </w:r>
      <w:r>
        <w:rPr>
          <w:rFonts w:hint="default" w:ascii="宋体" w:hAnsi="宋体" w:eastAsia="宋体" w:cs="宋体"/>
          <w:sz w:val="24"/>
          <w:lang w:val="en-US" w:eastAsia="zh-CN"/>
        </w:rPr>
        <w:t>k</w:t>
      </w:r>
      <w:r>
        <w:rPr>
          <w:rFonts w:hint="default" w:ascii="宋体" w:hAnsi="宋体" w:eastAsia="宋体" w:cs="宋体"/>
          <w:sz w:val="24"/>
          <w:vertAlign w:val="subscript"/>
          <w:lang w:val="en-US" w:eastAsia="zh-CN"/>
        </w:rPr>
        <w:t>i</w:t>
      </w:r>
      <w:r>
        <w:rPr>
          <w:rFonts w:hint="default" w:ascii="宋体" w:hAnsi="宋体" w:eastAsia="宋体" w:cs="宋体"/>
          <w:sz w:val="24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lang w:val="en-US" w:eastAsia="zh-CN"/>
        </w:rPr>
        <w:t>1</w:t>
      </w:r>
      <w:r>
        <w:rPr>
          <w:rFonts w:hint="default" w:ascii="Arial" w:hAnsi="Arial" w:eastAsia="宋体" w:cs="Arial"/>
          <w:sz w:val="24"/>
          <w:lang w:val="en-US" w:eastAsia="zh-CN"/>
        </w:rPr>
        <w:t>÷</w:t>
      </w:r>
      <w:r>
        <w:rPr>
          <w:rFonts w:hint="eastAsia" w:ascii="宋体" w:hAnsi="宋体" w:eastAsia="宋体" w:cs="宋体"/>
          <w:sz w:val="24"/>
          <w:lang w:val="en-US" w:eastAsia="zh-CN"/>
        </w:rPr>
        <w:t>（</w:t>
      </w:r>
      <w:r>
        <w:rPr>
          <w:rFonts w:hint="default" w:ascii="宋体" w:hAnsi="宋体" w:eastAsia="宋体" w:cs="宋体"/>
          <w:sz w:val="24"/>
          <w:lang w:val="en-US" w:eastAsia="zh-CN"/>
        </w:rPr>
        <w:t>1−MPC</w:t>
      </w:r>
      <w:r>
        <w:rPr>
          <w:rFonts w:hint="eastAsia" w:ascii="宋体" w:hAnsi="宋体" w:eastAsia="宋体" w:cs="宋体"/>
          <w:sz w:val="24"/>
          <w:lang w:val="en-US" w:eastAsia="zh-CN"/>
        </w:rPr>
        <w:t>）</w:t>
      </w:r>
      <w:r>
        <w:rPr>
          <w:rFonts w:hint="default" w:ascii="宋体" w:hAnsi="宋体" w:eastAsia="宋体" w:cs="宋体"/>
          <w:sz w:val="24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lang w:val="en-US" w:eastAsia="zh-CN"/>
        </w:rPr>
        <w:t>1</w:t>
      </w:r>
      <w:r>
        <w:rPr>
          <w:rFonts w:hint="default" w:ascii="Arial" w:hAnsi="Arial" w:eastAsia="宋体" w:cs="Arial"/>
          <w:sz w:val="24"/>
          <w:lang w:val="en-US" w:eastAsia="zh-CN"/>
        </w:rPr>
        <w:t>÷</w:t>
      </w:r>
      <w:r>
        <w:rPr>
          <w:rFonts w:hint="default" w:ascii="宋体" w:hAnsi="宋体" w:eastAsia="宋体" w:cs="宋体"/>
          <w:sz w:val="24"/>
          <w:lang w:val="en-US" w:eastAsia="zh-CN"/>
        </w:rPr>
        <w:t>MPS​。</w:t>
      </w:r>
    </w:p>
    <w:p w14:paraId="1F95D38F">
      <w:pPr>
        <w:rPr>
          <w:rFonts w:ascii="宋体" w:hAnsi="宋体" w:eastAsia="宋体" w:cs="宋体"/>
          <w:sz w:val="24"/>
        </w:rPr>
      </w:pPr>
    </w:p>
    <w:p w14:paraId="5F0C212C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5、政府转移支付乘数</w:t>
      </w:r>
    </w:p>
    <w:p w14:paraId="4DA7E662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  <w:lang w:val="en-US" w:eastAsia="zh-CN"/>
        </w:rPr>
        <w:t>转移支付变动1单位带来国民收入变动倍数，</w:t>
      </w:r>
      <w:r>
        <w:rPr>
          <w:rFonts w:hint="default" w:ascii="宋体" w:hAnsi="宋体" w:eastAsia="宋体" w:cs="宋体"/>
          <w:sz w:val="24"/>
          <w:lang w:val="en-US" w:eastAsia="zh-CN"/>
        </w:rPr>
        <w:t>k</w:t>
      </w:r>
      <w:r>
        <w:rPr>
          <w:rFonts w:hint="default" w:ascii="宋体" w:hAnsi="宋体" w:eastAsia="宋体" w:cs="宋体"/>
          <w:sz w:val="24"/>
          <w:vertAlign w:val="subscript"/>
          <w:lang w:val="en-US" w:eastAsia="zh-CN"/>
        </w:rPr>
        <w:t>tr</w:t>
      </w:r>
      <w:r>
        <w:rPr>
          <w:rFonts w:hint="default" w:ascii="宋体" w:hAnsi="宋体" w:eastAsia="宋体" w:cs="宋体"/>
          <w:sz w:val="24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lang w:val="en-US" w:eastAsia="zh-CN"/>
        </w:rPr>
        <w:t>b</w:t>
      </w:r>
      <w:r>
        <w:rPr>
          <w:rFonts w:hint="default" w:ascii="Arial" w:hAnsi="Arial" w:eastAsia="宋体" w:cs="Arial"/>
          <w:sz w:val="24"/>
          <w:lang w:val="en-US" w:eastAsia="zh-CN"/>
        </w:rPr>
        <w:t>÷</w:t>
      </w:r>
      <w:r>
        <w:rPr>
          <w:rFonts w:hint="default" w:ascii="宋体" w:hAnsi="宋体" w:eastAsia="宋体" w:cs="宋体"/>
          <w:sz w:val="24"/>
          <w:lang w:val="en-US" w:eastAsia="zh-CN"/>
        </w:rPr>
        <w:t>(1−b)，数值等于税收乘数绝对值，符号为正。</w:t>
      </w:r>
    </w:p>
    <w:p w14:paraId="6F617989">
      <w:pPr>
        <w:rPr>
          <w:rFonts w:ascii="宋体" w:hAnsi="宋体" w:eastAsia="宋体" w:cs="宋体"/>
          <w:sz w:val="24"/>
        </w:rPr>
      </w:pPr>
    </w:p>
    <w:p w14:paraId="1FE87DFC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6、棘轮效应</w:t>
      </w:r>
    </w:p>
    <w:p w14:paraId="45AF50BB">
      <w:pPr>
        <w:rPr/>
      </w:pPr>
      <w:r>
        <w:rPr>
          <w:lang w:val="en-US" w:eastAsia="zh-CN"/>
        </w:rPr>
        <w:t>杜森贝利相对收入假说：消费易随收入上升增加，难随收入下降减少；消费具有不可逆性，短期消费曲线呈上凸棘轮形态。</w:t>
      </w:r>
    </w:p>
    <w:p w14:paraId="3535EA97"/>
    <w:p w14:paraId="62C8322B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7、攀比效应</w:t>
      </w:r>
    </w:p>
    <w:p w14:paraId="531F2295">
      <w:pPr>
        <w:rPr/>
      </w:pPr>
      <w:r>
        <w:rPr>
          <w:lang w:val="en-US" w:eastAsia="zh-CN"/>
        </w:rPr>
        <w:t>杜森贝利理论：消费者消费会参照同阶层他人消费水平，相对收入影响消费，收入分配不均会拉高整体消费倾向。</w:t>
      </w:r>
    </w:p>
    <w:p w14:paraId="3539784F"/>
    <w:p w14:paraId="78C93C9F">
      <w:pPr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三、简答题</w:t>
      </w:r>
    </w:p>
    <w:p w14:paraId="5B279C5E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1、为什么边际消费倾向和平均消费倾向都总是大于零而小于1?</w:t>
      </w:r>
    </w:p>
    <w:p w14:paraId="13C6D75E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  <w:lang w:val="en-US" w:eastAsia="zh-CN"/>
        </w:rPr>
        <w:t>（1）边际消费倾向</w:t>
      </w:r>
      <w:r>
        <w:rPr>
          <w:rFonts w:hint="default" w:ascii="宋体" w:hAnsi="宋体" w:eastAsia="宋体" w:cs="宋体"/>
          <w:sz w:val="24"/>
          <w:lang w:val="en-US" w:eastAsia="zh-CN"/>
        </w:rPr>
        <w:t>0&lt;MPC&lt;1：居民收入增加时，会增加消费（MPC&gt;0），但不会把全部新增收入用于消费，会留存一部分储蓄（MPC&lt;1）。（2）平均消费倾向0&lt;APC&lt;1：短期存在自发消费，即使收入极低也要维持基本生活，APC&gt;0；长期居民不会将全部收入消费，会储蓄，因此多数情况下APC&lt;1；仅收入极低时 APC 可大于 1，但正常均衡收入区间0&lt;APC&lt;1。</w:t>
      </w:r>
    </w:p>
    <w:p w14:paraId="0131D984">
      <w:pPr>
        <w:rPr>
          <w:rFonts w:ascii="宋体" w:hAnsi="宋体" w:eastAsia="宋体" w:cs="宋体"/>
          <w:sz w:val="24"/>
        </w:rPr>
      </w:pPr>
    </w:p>
    <w:p w14:paraId="78408C37">
      <w:pPr>
        <w:rPr>
          <w:rFonts w:ascii="宋体" w:hAnsi="宋体" w:eastAsia="宋体" w:cs="宋体"/>
          <w:sz w:val="24"/>
        </w:rPr>
      </w:pPr>
    </w:p>
    <w:p w14:paraId="6E75A742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2、凯恩斯消费理论的主要观点。</w:t>
      </w:r>
    </w:p>
    <w:p w14:paraId="2ADC2FA2">
      <w:pPr>
        <w:rPr>
          <w:rFonts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  <w:lang w:val="en-US"/>
        </w:rPr>
        <w:t>1.</w:t>
      </w:r>
      <w:r>
        <w:rPr>
          <w:rFonts w:hint="default" w:ascii="宋体" w:hAnsi="宋体" w:eastAsia="宋体" w:cs="宋体"/>
          <w:sz w:val="24"/>
        </w:rPr>
        <w:t>核心假说：边际消费倾向递减收入越高，新增收入中用于消费的比例不断下降，MPC随Yd上升递减。</w:t>
      </w:r>
    </w:p>
    <w:p w14:paraId="4D2485F4">
      <w:pPr>
        <w:rPr>
          <w:rFonts w:hint="default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  <w:lang w:val="en-US"/>
        </w:rPr>
        <w:t>2.</w:t>
      </w:r>
      <w:r>
        <w:rPr>
          <w:rFonts w:hint="default" w:ascii="宋体" w:hAnsi="宋体" w:eastAsia="宋体" w:cs="宋体"/>
          <w:sz w:val="24"/>
        </w:rPr>
        <w:t>消费取决于当期绝对可支配收入C=a+bYd，a自发消费，b边际消费倾向，消费是当期收入的稳定函数。</w:t>
      </w:r>
    </w:p>
    <w:p w14:paraId="3159BC8E">
      <w:pPr>
        <w:rPr>
          <w:rFonts w:hint="default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  <w:lang w:val="en-US"/>
        </w:rPr>
        <w:t>3.</w:t>
      </w:r>
      <w:r>
        <w:rPr>
          <w:rFonts w:hint="default" w:ascii="宋体" w:hAnsi="宋体" w:eastAsia="宋体" w:cs="宋体"/>
          <w:sz w:val="24"/>
        </w:rPr>
        <w:t>0&lt;MPC&lt;1，且APC&gt;MPC，随收入提高，APC逐步下降。</w:t>
      </w:r>
    </w:p>
    <w:p w14:paraId="1D3EA43A">
      <w:pPr>
        <w:rPr>
          <w:rFonts w:hint="default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  <w:lang w:val="en-US"/>
        </w:rPr>
        <w:t>4.</w:t>
      </w:r>
      <w:r>
        <w:rPr>
          <w:rFonts w:hint="default" w:ascii="宋体" w:hAnsi="宋体" w:eastAsia="宋体" w:cs="宋体"/>
          <w:sz w:val="24"/>
        </w:rPr>
        <w:t>储蓄是收入的剩余部分，S=Yd−C=−a+(1−b)Yd，边际储蓄倾向MPS=1−MPC。</w:t>
      </w:r>
    </w:p>
    <w:p w14:paraId="0907741A">
      <w:pPr>
        <w:rPr>
          <w:rFonts w:hint="default" w:ascii="宋体" w:hAnsi="宋体" w:eastAsia="宋体" w:cs="宋体"/>
          <w:sz w:val="24"/>
        </w:rPr>
      </w:pPr>
      <w:r>
        <w:rPr>
          <w:rFonts w:hint="default" w:ascii="宋体" w:hAnsi="宋体" w:eastAsia="宋体" w:cs="宋体"/>
          <w:sz w:val="24"/>
          <w:lang w:val="en-US"/>
        </w:rPr>
        <w:t>5.</w:t>
      </w:r>
      <w:r>
        <w:rPr>
          <w:rFonts w:hint="default" w:ascii="宋体" w:hAnsi="宋体" w:eastAsia="宋体" w:cs="宋体"/>
          <w:sz w:val="24"/>
        </w:rPr>
        <w:t>有效需求不足根源：富人MPC低、穷人收入低，社会整体消费不足，需要政府刺激总需求。</w:t>
      </w:r>
    </w:p>
    <w:p w14:paraId="5702C291">
      <w:pPr>
        <w:rPr>
          <w:rFonts w:ascii="宋体" w:hAnsi="宋体" w:eastAsia="宋体" w:cs="宋体"/>
          <w:sz w:val="24"/>
        </w:rPr>
      </w:pPr>
    </w:p>
    <w:p w14:paraId="1FEF255F">
      <w:pPr>
        <w:rPr>
          <w:rFonts w:ascii="宋体" w:hAnsi="宋体" w:eastAsia="宋体" w:cs="宋体"/>
          <w:sz w:val="24"/>
        </w:rPr>
      </w:pPr>
    </w:p>
    <w:p w14:paraId="3479682E">
      <w:pPr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四、计算题</w:t>
      </w:r>
    </w:p>
    <w:p w14:paraId="11B41FC9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1</w:t>
      </w:r>
      <w:r>
        <w:rPr>
          <w:rFonts w:hint="eastAsia" w:ascii="宋体" w:hAnsi="宋体" w:eastAsia="宋体" w:cs="宋体"/>
          <w:sz w:val="24"/>
        </w:rPr>
        <w:t>、假设某经济社会的储蓄函数为s=-1600+0.25y,投资从i=400增加到i=600时，均衡国民收入增加多少?</w:t>
      </w:r>
    </w:p>
    <w:p w14:paraId="46340DC7">
      <w:pPr>
        <w:rPr>
          <w:rFonts w:hint="default" w:ascii="宋体" w:hAnsi="宋体" w:eastAsia="宋体" w:cs="宋体"/>
          <w:sz w:val="24"/>
          <w:lang w:val="en-US"/>
        </w:rPr>
      </w:pPr>
      <w:r>
        <w:rPr>
          <w:rFonts w:hint="default" w:ascii="宋体" w:hAnsi="宋体" w:eastAsia="宋体" w:cs="宋体"/>
          <w:sz w:val="24"/>
          <w:lang w:val="en-US"/>
        </w:rPr>
        <w:drawing>
          <wp:inline distT="0" distB="0" distL="114300" distR="114300">
            <wp:extent cx="4166870" cy="1972945"/>
            <wp:effectExtent l="0" t="0" r="24130" b="8255"/>
            <wp:docPr id="1" name="图片 1" descr="截屏2026-06-23 16.56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6-23 16.56.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95DB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2</w:t>
      </w:r>
      <w:r>
        <w:rPr>
          <w:rFonts w:hint="eastAsia" w:ascii="宋体" w:hAnsi="宋体" w:eastAsia="宋体" w:cs="宋体"/>
          <w:sz w:val="24"/>
        </w:rPr>
        <w:t>、假定某经济社会的消费函数为C=100+0.8Y(可支配收入)，投资支出为I=50，政府购买支出G=200，政府转移支付Tr=62.5，税收T=250(单位:亿元)，试求:</w:t>
      </w:r>
    </w:p>
    <w:p w14:paraId="3DF59A32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（1）均衡的国民收入</w:t>
      </w:r>
    </w:p>
    <w:p w14:paraId="12294D61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（2）投资乘数、政府购买乘数、税收乘数、转移支付乘数以及平衡预算乘数</w:t>
      </w:r>
    </w:p>
    <w:p w14:paraId="558A3437">
      <w:pPr>
        <w:rPr>
          <w:rFonts w:hint="default" w:ascii="宋体" w:hAnsi="宋体" w:eastAsia="宋体" w:cs="宋体"/>
          <w:sz w:val="24"/>
          <w:lang w:val="en-US"/>
        </w:rPr>
      </w:pPr>
      <w:r>
        <w:rPr>
          <w:rFonts w:hint="default" w:ascii="宋体" w:hAnsi="宋体" w:eastAsia="宋体" w:cs="宋体"/>
          <w:sz w:val="24"/>
          <w:lang w:val="en-US"/>
        </w:rPr>
        <w:drawing>
          <wp:inline distT="0" distB="0" distL="114300" distR="114300">
            <wp:extent cx="4853305" cy="2463165"/>
            <wp:effectExtent l="0" t="0" r="23495" b="635"/>
            <wp:docPr id="4" name="图片 4" descr="截屏2026-06-23 16.56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6-23 16.56.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BE4E">
      <w:pPr>
        <w:rPr>
          <w:rFonts w:ascii="宋体" w:hAnsi="宋体" w:eastAsia="宋体" w:cs="宋体"/>
          <w:sz w:val="24"/>
        </w:rPr>
      </w:pPr>
    </w:p>
    <w:p w14:paraId="320201BD">
      <w:pPr>
        <w:rPr>
          <w:rFonts w:hint="default" w:ascii="宋体" w:hAnsi="宋体" w:eastAsia="宋体" w:cs="宋体"/>
          <w:sz w:val="24"/>
          <w:lang w:val="en-US"/>
        </w:rPr>
      </w:pPr>
      <w:r>
        <w:rPr>
          <w:rFonts w:hint="default" w:ascii="宋体" w:hAnsi="宋体" w:eastAsia="宋体" w:cs="宋体"/>
          <w:sz w:val="24"/>
          <w:lang w:val="en-US"/>
        </w:rPr>
        <w:drawing>
          <wp:inline distT="0" distB="0" distL="114300" distR="114300">
            <wp:extent cx="3197225" cy="1762760"/>
            <wp:effectExtent l="0" t="0" r="3175" b="15240"/>
            <wp:docPr id="5" name="图片 5" descr="截屏2026-06-23 16.56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6-23 16.56.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6173">
      <w:pPr>
        <w:rPr>
          <w:rFonts w:ascii="宋体" w:hAnsi="宋体" w:eastAsia="宋体" w:cs="宋体"/>
          <w:sz w:val="24"/>
        </w:rPr>
      </w:pPr>
    </w:p>
    <w:p w14:paraId="2C9BD4B4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3</w:t>
      </w:r>
      <w:r>
        <w:rPr>
          <w:rFonts w:hint="eastAsia" w:ascii="宋体" w:hAnsi="宋体" w:eastAsia="宋体" w:cs="宋体"/>
          <w:sz w:val="24"/>
        </w:rPr>
        <w:t>、假设某经济社会的消费函数为C=100+0.8Y，投资为50(单位:10亿元)。求：</w:t>
      </w:r>
    </w:p>
    <w:p w14:paraId="713BBFB3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(1)均衡收入、消费和储蓄。</w:t>
      </w:r>
    </w:p>
    <w:p w14:paraId="1C362CB7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(2)若投资增至100，求增加的国民收入。</w:t>
      </w:r>
    </w:p>
    <w:p w14:paraId="655E3787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(3)若消费函数为C=100+0.9Y，投资仍为50，收入和储蓄各为多少?投资增至100时收入增加多少?</w:t>
      </w:r>
    </w:p>
    <w:p w14:paraId="6A852815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(4)消费函数变化后，投资乘数有什么变化?</w:t>
      </w:r>
    </w:p>
    <w:p w14:paraId="36981E7E">
      <w:pPr>
        <w:rPr>
          <w:rFonts w:hint="default" w:ascii="宋体" w:hAnsi="宋体" w:eastAsia="宋体" w:cs="宋体"/>
          <w:sz w:val="24"/>
          <w:lang w:val="en-US"/>
        </w:rPr>
      </w:pPr>
      <w:r>
        <w:rPr>
          <w:rFonts w:hint="default" w:ascii="宋体" w:hAnsi="宋体" w:eastAsia="宋体" w:cs="宋体"/>
          <w:sz w:val="24"/>
          <w:lang w:val="en-US"/>
        </w:rPr>
        <w:drawing>
          <wp:inline distT="0" distB="0" distL="114300" distR="114300">
            <wp:extent cx="3403600" cy="2444115"/>
            <wp:effectExtent l="0" t="0" r="0" b="19685"/>
            <wp:docPr id="6" name="图片 6" descr="截屏2026-06-23 16.58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6-23 16.58.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C9FD">
      <w:pPr>
        <w:rPr>
          <w:rFonts w:hint="default" w:ascii="宋体" w:hAnsi="宋体" w:eastAsia="宋体" w:cs="宋体"/>
          <w:sz w:val="24"/>
          <w:lang w:val="en-US"/>
        </w:rPr>
      </w:pPr>
      <w:r>
        <w:rPr>
          <w:rFonts w:hint="default" w:ascii="宋体" w:hAnsi="宋体" w:eastAsia="宋体" w:cs="宋体"/>
          <w:sz w:val="24"/>
          <w:lang w:val="en-US"/>
        </w:rPr>
        <w:drawing>
          <wp:inline distT="0" distB="0" distL="114300" distR="114300">
            <wp:extent cx="3798570" cy="3596005"/>
            <wp:effectExtent l="0" t="0" r="11430" b="10795"/>
            <wp:docPr id="7" name="图片 7" descr="截屏2026-06-23 16.58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6-23 16.58.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3429">
      <w:pPr>
        <w:rPr>
          <w:rFonts w:hint="default" w:ascii="宋体" w:hAnsi="宋体" w:eastAsia="宋体" w:cs="宋体"/>
          <w:sz w:val="24"/>
          <w:lang w:val="en-US"/>
        </w:rPr>
      </w:pPr>
      <w:bookmarkStart w:id="0" w:name="_GoBack"/>
      <w:bookmarkEnd w:id="0"/>
      <w:r>
        <w:rPr>
          <w:rFonts w:hint="default" w:ascii="宋体" w:hAnsi="宋体" w:eastAsia="宋体" w:cs="宋体"/>
          <w:sz w:val="24"/>
          <w:lang w:val="en-US"/>
        </w:rPr>
        <w:drawing>
          <wp:inline distT="0" distB="0" distL="114300" distR="114300">
            <wp:extent cx="4772660" cy="977265"/>
            <wp:effectExtent l="0" t="0" r="2540" b="13335"/>
            <wp:docPr id="8" name="图片 8" descr="截屏2026-06-23 16.58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6-23 16.58.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yY2Y5Y2UxZjkwY2NiYzg1MTM4ZmQzOTFhYWJhY2IifQ=="/>
  </w:docVars>
  <w:rsids>
    <w:rsidRoot w:val="5DFB2304"/>
    <w:rsid w:val="0006504B"/>
    <w:rsid w:val="0008291A"/>
    <w:rsid w:val="00095496"/>
    <w:rsid w:val="000A756C"/>
    <w:rsid w:val="000E001B"/>
    <w:rsid w:val="000F0E76"/>
    <w:rsid w:val="00134391"/>
    <w:rsid w:val="001A3449"/>
    <w:rsid w:val="001C16E0"/>
    <w:rsid w:val="00336F65"/>
    <w:rsid w:val="0036050C"/>
    <w:rsid w:val="00381A46"/>
    <w:rsid w:val="00387D84"/>
    <w:rsid w:val="004C00E5"/>
    <w:rsid w:val="004C78D3"/>
    <w:rsid w:val="00627D23"/>
    <w:rsid w:val="00636842"/>
    <w:rsid w:val="00647885"/>
    <w:rsid w:val="006B39BC"/>
    <w:rsid w:val="007770B9"/>
    <w:rsid w:val="007D1DCD"/>
    <w:rsid w:val="007E1EBC"/>
    <w:rsid w:val="00826079"/>
    <w:rsid w:val="00860AE1"/>
    <w:rsid w:val="008815E4"/>
    <w:rsid w:val="008C3AFE"/>
    <w:rsid w:val="00A8470B"/>
    <w:rsid w:val="00AD1468"/>
    <w:rsid w:val="00B46488"/>
    <w:rsid w:val="00B564A3"/>
    <w:rsid w:val="00B7238D"/>
    <w:rsid w:val="00BB246A"/>
    <w:rsid w:val="00BE694F"/>
    <w:rsid w:val="00C85F8D"/>
    <w:rsid w:val="00CB55EF"/>
    <w:rsid w:val="00CC3D5D"/>
    <w:rsid w:val="00CC7477"/>
    <w:rsid w:val="00D31DF4"/>
    <w:rsid w:val="00DA1C5A"/>
    <w:rsid w:val="00DF7E3F"/>
    <w:rsid w:val="00E211FE"/>
    <w:rsid w:val="00E342A9"/>
    <w:rsid w:val="00E82F2C"/>
    <w:rsid w:val="00EF60E0"/>
    <w:rsid w:val="00F30C73"/>
    <w:rsid w:val="00FC4E9F"/>
    <w:rsid w:val="019D1FCF"/>
    <w:rsid w:val="02DE3EBB"/>
    <w:rsid w:val="02ED2EFA"/>
    <w:rsid w:val="034B1819"/>
    <w:rsid w:val="0434510F"/>
    <w:rsid w:val="04C41754"/>
    <w:rsid w:val="04FB7873"/>
    <w:rsid w:val="06E6193E"/>
    <w:rsid w:val="06F34277"/>
    <w:rsid w:val="07AB542E"/>
    <w:rsid w:val="0850740C"/>
    <w:rsid w:val="09C519ED"/>
    <w:rsid w:val="09EC5320"/>
    <w:rsid w:val="0BF42832"/>
    <w:rsid w:val="0BFE6310"/>
    <w:rsid w:val="0C3827E0"/>
    <w:rsid w:val="0C531389"/>
    <w:rsid w:val="0CF42037"/>
    <w:rsid w:val="0E631F93"/>
    <w:rsid w:val="0F212BA4"/>
    <w:rsid w:val="104B484D"/>
    <w:rsid w:val="11055C60"/>
    <w:rsid w:val="113647F0"/>
    <w:rsid w:val="11446EF5"/>
    <w:rsid w:val="11464988"/>
    <w:rsid w:val="117D1C27"/>
    <w:rsid w:val="117F5E77"/>
    <w:rsid w:val="118C5E96"/>
    <w:rsid w:val="11FA013F"/>
    <w:rsid w:val="12710CD3"/>
    <w:rsid w:val="127D1508"/>
    <w:rsid w:val="141F7A21"/>
    <w:rsid w:val="15AD0CE5"/>
    <w:rsid w:val="16E44622"/>
    <w:rsid w:val="17862C3B"/>
    <w:rsid w:val="17F13E99"/>
    <w:rsid w:val="18DF3784"/>
    <w:rsid w:val="191C1DE3"/>
    <w:rsid w:val="195936A8"/>
    <w:rsid w:val="1AB90E39"/>
    <w:rsid w:val="1BA06A3F"/>
    <w:rsid w:val="1C1F5086"/>
    <w:rsid w:val="1C244A96"/>
    <w:rsid w:val="1CF46C76"/>
    <w:rsid w:val="1DCC5431"/>
    <w:rsid w:val="1E0D3667"/>
    <w:rsid w:val="1EAA6D87"/>
    <w:rsid w:val="1ECB0204"/>
    <w:rsid w:val="20342E0B"/>
    <w:rsid w:val="207C7C32"/>
    <w:rsid w:val="21930C99"/>
    <w:rsid w:val="22E2227C"/>
    <w:rsid w:val="22E74B6F"/>
    <w:rsid w:val="22EA08BE"/>
    <w:rsid w:val="23400485"/>
    <w:rsid w:val="23C0571B"/>
    <w:rsid w:val="24373781"/>
    <w:rsid w:val="258B5EA9"/>
    <w:rsid w:val="26EC4578"/>
    <w:rsid w:val="27D906A5"/>
    <w:rsid w:val="284C7BEA"/>
    <w:rsid w:val="2A8D6A52"/>
    <w:rsid w:val="2B030417"/>
    <w:rsid w:val="2B552B25"/>
    <w:rsid w:val="2B5F57CF"/>
    <w:rsid w:val="2C1C4861"/>
    <w:rsid w:val="2C283281"/>
    <w:rsid w:val="2C7C436C"/>
    <w:rsid w:val="2C7C6B49"/>
    <w:rsid w:val="2D2C6536"/>
    <w:rsid w:val="2D5F5332"/>
    <w:rsid w:val="2EA96CCB"/>
    <w:rsid w:val="30707FF5"/>
    <w:rsid w:val="312A143A"/>
    <w:rsid w:val="313D6562"/>
    <w:rsid w:val="31EB7A4D"/>
    <w:rsid w:val="32096035"/>
    <w:rsid w:val="321E0C66"/>
    <w:rsid w:val="33036846"/>
    <w:rsid w:val="353B19BC"/>
    <w:rsid w:val="357550AA"/>
    <w:rsid w:val="35ED60D9"/>
    <w:rsid w:val="35F36A61"/>
    <w:rsid w:val="3608153E"/>
    <w:rsid w:val="362E43DF"/>
    <w:rsid w:val="372D603D"/>
    <w:rsid w:val="374B2A0A"/>
    <w:rsid w:val="3A857A8F"/>
    <w:rsid w:val="3B9661A9"/>
    <w:rsid w:val="3D4D0EC7"/>
    <w:rsid w:val="3E4A1C02"/>
    <w:rsid w:val="3EA6491E"/>
    <w:rsid w:val="3EF4413A"/>
    <w:rsid w:val="3EFD0146"/>
    <w:rsid w:val="40384A35"/>
    <w:rsid w:val="404235FA"/>
    <w:rsid w:val="4052250E"/>
    <w:rsid w:val="40DA7446"/>
    <w:rsid w:val="41665BF3"/>
    <w:rsid w:val="431E3D5B"/>
    <w:rsid w:val="439E5FC5"/>
    <w:rsid w:val="44222606"/>
    <w:rsid w:val="44E40449"/>
    <w:rsid w:val="45494749"/>
    <w:rsid w:val="45CF7FC2"/>
    <w:rsid w:val="46F66393"/>
    <w:rsid w:val="4700465F"/>
    <w:rsid w:val="473E787C"/>
    <w:rsid w:val="4893513A"/>
    <w:rsid w:val="49B03BF1"/>
    <w:rsid w:val="4B6203A6"/>
    <w:rsid w:val="4C08454E"/>
    <w:rsid w:val="4DE813E6"/>
    <w:rsid w:val="4E0E2FDE"/>
    <w:rsid w:val="4EB1124F"/>
    <w:rsid w:val="506B5D03"/>
    <w:rsid w:val="51FF15C8"/>
    <w:rsid w:val="547F1859"/>
    <w:rsid w:val="54880A2C"/>
    <w:rsid w:val="54C31B5B"/>
    <w:rsid w:val="56C75C61"/>
    <w:rsid w:val="57D7154B"/>
    <w:rsid w:val="58B25871"/>
    <w:rsid w:val="58C535AD"/>
    <w:rsid w:val="58CE31DF"/>
    <w:rsid w:val="58CE3396"/>
    <w:rsid w:val="595E7A5F"/>
    <w:rsid w:val="5997719A"/>
    <w:rsid w:val="5AE749A1"/>
    <w:rsid w:val="5B1661A6"/>
    <w:rsid w:val="5C265CF2"/>
    <w:rsid w:val="5CEE798F"/>
    <w:rsid w:val="5DFB2304"/>
    <w:rsid w:val="5E0A7717"/>
    <w:rsid w:val="5E5862C7"/>
    <w:rsid w:val="5EC47939"/>
    <w:rsid w:val="5EC775C6"/>
    <w:rsid w:val="5ED1508F"/>
    <w:rsid w:val="5EFA61A4"/>
    <w:rsid w:val="5F696F44"/>
    <w:rsid w:val="5F9F52CB"/>
    <w:rsid w:val="5FD42950"/>
    <w:rsid w:val="5FF123FC"/>
    <w:rsid w:val="62461B99"/>
    <w:rsid w:val="62F12E7F"/>
    <w:rsid w:val="630F139D"/>
    <w:rsid w:val="630F1FF8"/>
    <w:rsid w:val="63C95B49"/>
    <w:rsid w:val="63D610B6"/>
    <w:rsid w:val="657106CC"/>
    <w:rsid w:val="65A44043"/>
    <w:rsid w:val="662E334F"/>
    <w:rsid w:val="67CA3A18"/>
    <w:rsid w:val="6901564B"/>
    <w:rsid w:val="694749E3"/>
    <w:rsid w:val="6A112B33"/>
    <w:rsid w:val="6DE70AC3"/>
    <w:rsid w:val="6E517A50"/>
    <w:rsid w:val="6EC56129"/>
    <w:rsid w:val="6F6E7D1B"/>
    <w:rsid w:val="6F96251B"/>
    <w:rsid w:val="6F964C53"/>
    <w:rsid w:val="6FE0284E"/>
    <w:rsid w:val="70BA67CD"/>
    <w:rsid w:val="71C9279D"/>
    <w:rsid w:val="744A36C8"/>
    <w:rsid w:val="752E170C"/>
    <w:rsid w:val="7560124A"/>
    <w:rsid w:val="75676555"/>
    <w:rsid w:val="75AD77B0"/>
    <w:rsid w:val="788F05AB"/>
    <w:rsid w:val="78A6201A"/>
    <w:rsid w:val="79484A6D"/>
    <w:rsid w:val="7A282230"/>
    <w:rsid w:val="7A4F2052"/>
    <w:rsid w:val="7B640F7E"/>
    <w:rsid w:val="7C11003E"/>
    <w:rsid w:val="7D874D14"/>
    <w:rsid w:val="7DCF0FD7"/>
    <w:rsid w:val="7E1C05E8"/>
    <w:rsid w:val="7EF54A57"/>
    <w:rsid w:val="DEFFC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7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24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标题 2 字符"/>
    <w:link w:val="2"/>
    <w:autoRedefine/>
    <w:qFormat/>
    <w:uiPriority w:val="0"/>
    <w:rPr>
      <w:rFonts w:ascii="Arial" w:hAnsi="Arial" w:eastAsia="黑体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340</Words>
  <Characters>1939</Characters>
  <Lines>16</Lines>
  <Paragraphs>4</Paragraphs>
  <TotalTime>19</TotalTime>
  <ScaleCrop>false</ScaleCrop>
  <LinksUpToDate>false</LinksUpToDate>
  <CharactersWithSpaces>2275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2024-05-15T08:47:00Z</dcterms:created>
  <dc:creator>然后再次.</dc:creator>
  <cp:lastModifiedBy>WPS_1601562174</cp:lastModifiedBy>
  <dcterms:modified xsi:type="dcterms:W3CDTF">2026-06-23T17:01:36Z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32A32D39D18E1260704B3A6A6915C5F5_43</vt:lpwstr>
  </property>
</Properties>
</file>