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课堂展示讲稿（中文版）</w:t>
      </w:r>
    </w:p>
    <w:p>
      <w:pPr>
        <w:jc w:val="center"/>
      </w:pPr>
      <w:r>
        <w:rPr>
          <w:rFonts w:ascii="宋体" w:hAnsi="宋体" w:eastAsia="宋体"/>
          <w:i/>
          <w:color w:val="5A5A5A"/>
          <w:sz w:val="22"/>
        </w:rPr>
        <w:t>从依附划转走向三方共担：苏州长护险基金在2023年筹资断点前后的观察（2021—2025）</w:t>
      </w:r>
    </w:p>
    <w:p/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各位老师、同学，早上好。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今天我想跟大家分享一个我正在做的研究计划——先说明，这还只是一个计划，很多东西我还在摸索，远没有到做完的阶段。我想研究的问题其实很朴素：苏州在2023年改革了长期护理保险的筹资方式，从那以后，这笔基金的账本到底发生了什么变化？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先说背景。长期护理保险，也就是我们常说的“第六险”，从2012年青岛最早开始探索，到2016年全国首批15个城市试点，再到后来扩围到49个城市，今年正式启动全国统一制度。到去年底，全国参保人数已经超过3亿。规模很大，但有一个问题一直困扰我：这么大的制度，到了城市层面，账本反而看不清楚。各个城市的筹资规则不一样——有的从医保基金划转，有的靠财政补贴，有的个人缴费，有的单位缴费——碎片化很严重。而且没有一个城市连续、可比地公开过收入和支出的完整记录。所以我就想找一个真正公开数据的城市，苏州进入了我的视野——苏州市医保局每年都会发布长护险基金的收支情况通告，收入、支出、当期结余，精确到万元，2021到2025年连续五年都有。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拿到这五年数据一看，有一个现象立刻引起了我的注意。2023年，苏州推出了三方共担的筹资机制：个人每年缴24元，单位缴84元，再加上医保基金的划转。改革之后，基金收入从2022年的7.67亿元一下子跳到了2023年的10.47亿元，涨幅36.5%。表面上看，这是改革成功的信号——钱多了嘛。但如果你接着往下看，会发现支出也在持续攀升。支出占收入的比重，从2023年的55.1%一路升到了2025年的71.1%。当期结余呢，2023年达到峰值4.70亿元之后，连续两年下降，到2025年只剩3.17亿元。这里我必须谨慎——我不是说改革导致了结余下降，这中间有待遇享受人数增长、护理服务成本上升等很多因素，不能简单做因果判断。我想说的是，这个时间点上的变化很值得仔细看看。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正是基于这个观察，我提出了三个研究问题。第一，改革前后，基金的钱到底从哪里来？筹资结构发生了什么变化？第二，钱花到哪里去了？支出的增长和待遇享受人数的变化是什么关系？第三，收入端和支出端是怎么联动的？我用课堂上讲的三个目标来搭建分析框架——筹资端的可负担性、待遇端的充足性、以及基金平衡的可持续性——放在现收现付制的逻辑下来看。这个框架给了我一个可以被证伪的预期：如果2023年的改革只是单纯扩大了筹资池子，那么当期结余应该保持稳定甚至上升。但实际数据是，两年后结余反而收窄了。当然，我不会只凭两个数据点就下结论，2026、2027年的数据出来之后还需要继续验证。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那么这个研究为什么值得做？现有的研究大概分两类：一类是横向比较不同城市的政策设计，另一类是用精算模型预测到2050年的基金缺口。但很少有人真正坐下来，把一个城市的真实账本一年一年地追踪下去。而2026年全国统一制度刚启动，各地都在往全国统一费率靠拢，这个时候如果有一个诚实的、早期的城市样本——哪怕它有这样那样的局限——对其他城市应该是有参考价值的。当然我也要说清楚边界：苏州是经济发达、财政能力强的城市，它的经验不能直接推广到全国，这只是一个观察案例。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方法上，这是一个描述性的单案例研究，用的是二手官方数据，不做问卷也不做访谈——因为我的研究对象是城市级的基金账本，不是可以抽样的个体。分析上我会以2023年为断点，把数据分成前后两段，只在段内做比较，不会跨断点去拟合趋势线，因为筹资口径变了，跨过去比没有意义。研究大概需要四到六周。目前我已经知道的最大局限是：苏州只公开了当期结余，累计结余没有公布，所以我只能讨论当期的收支平衡，没法讨论基金的长期支付能力。</w:t>
      </w:r>
    </w:p>
    <w:p>
      <w:pPr>
        <w:spacing w:line="360" w:lineRule="auto" w:after="160"/>
        <w:ind w:firstLine="360"/>
      </w:pPr>
      <w:r>
        <w:rPr>
          <w:rFonts w:ascii="宋体" w:hAnsi="宋体" w:eastAsia="宋体"/>
          <w:sz w:val="24"/>
        </w:rPr>
        <w:t>最后再强调一下，这真的是一个还在进行中的计划，数据我还在核对，分析框架也可能调整，肯定有很多我没想到的角度。非常希望听听大家的意见，尤其是我提的这三个问题问得对不对、框架合不合适。谢谢大家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