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B1D6D">
      <w:pPr>
        <w:spacing w:line="440" w:lineRule="exact"/>
        <w:jc w:val="center"/>
        <w:rPr>
          <w:rFonts w:hint="eastAsia" w:ascii="黑体" w:hAnsi="黑体" w:eastAsia="黑体"/>
          <w:b/>
          <w:w w:val="96"/>
          <w:sz w:val="30"/>
          <w:szCs w:val="30"/>
        </w:rPr>
      </w:pPr>
      <w:r>
        <w:rPr>
          <w:rFonts w:ascii="黑体" w:hAnsi="黑体" w:eastAsia="黑体"/>
          <w:b/>
          <w:color w:val="000000" w:themeColor="text1"/>
          <w:w w:val="96"/>
          <w:sz w:val="30"/>
          <w:szCs w:val="30"/>
          <w14:textFill>
            <w14:solidFill>
              <w14:schemeClr w14:val="tx1"/>
            </w14:solidFill>
          </w14:textFill>
        </w:rPr>
        <w:drawing>
          <wp:anchor distT="0" distB="0" distL="114300" distR="114300" simplePos="0" relativeHeight="251660288" behindDoc="0" locked="0" layoutInCell="1" allowOverlap="1">
            <wp:simplePos x="0" y="0"/>
            <wp:positionH relativeFrom="column">
              <wp:posOffset>-170180</wp:posOffset>
            </wp:positionH>
            <wp:positionV relativeFrom="paragraph">
              <wp:posOffset>74930</wp:posOffset>
            </wp:positionV>
            <wp:extent cx="833120" cy="655955"/>
            <wp:effectExtent l="0" t="0" r="0" b="1270"/>
            <wp:wrapThrough wrapText="bothSides">
              <wp:wrapPolygon>
                <wp:start x="7195" y="1443"/>
                <wp:lineTo x="4544" y="2405"/>
                <wp:lineTo x="379" y="7214"/>
                <wp:lineTo x="379" y="11542"/>
                <wp:lineTo x="1515" y="16833"/>
                <wp:lineTo x="7195" y="20199"/>
                <wp:lineTo x="8330" y="21161"/>
                <wp:lineTo x="12496" y="21161"/>
                <wp:lineTo x="18933" y="17313"/>
                <wp:lineTo x="19312" y="16833"/>
                <wp:lineTo x="20826" y="11061"/>
                <wp:lineTo x="20826" y="7214"/>
                <wp:lineTo x="16282" y="2405"/>
                <wp:lineTo x="13632" y="1443"/>
                <wp:lineTo x="7195" y="1443"/>
              </wp:wrapPolygon>
            </wp:wrapThrough>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3120" cy="655955"/>
                    </a:xfrm>
                    <a:prstGeom prst="rect">
                      <a:avLst/>
                    </a:prstGeom>
                  </pic:spPr>
                </pic:pic>
              </a:graphicData>
            </a:graphic>
          </wp:anchor>
        </w:drawing>
      </w:r>
    </w:p>
    <w:p w14:paraId="27BB1FFC">
      <w:pPr>
        <w:spacing w:line="440" w:lineRule="exact"/>
        <w:jc w:val="center"/>
        <w:rPr>
          <w:rFonts w:hint="eastAsia" w:ascii="黑体" w:hAnsi="黑体" w:eastAsia="黑体"/>
          <w:b/>
          <w:w w:val="96"/>
          <w:sz w:val="30"/>
          <w:szCs w:val="30"/>
        </w:rPr>
      </w:pPr>
    </w:p>
    <w:p w14:paraId="4449B91F">
      <w:pPr>
        <w:spacing w:line="440" w:lineRule="exact"/>
        <w:jc w:val="both"/>
        <w:rPr>
          <w:rFonts w:hint="eastAsia" w:ascii="黑体" w:hAnsi="黑体" w:eastAsia="黑体"/>
          <w:b/>
          <w:w w:val="96"/>
          <w:sz w:val="30"/>
          <w:szCs w:val="30"/>
        </w:rPr>
      </w:pPr>
    </w:p>
    <w:p w14:paraId="24FABA1C">
      <w:pPr>
        <w:spacing w:line="440" w:lineRule="exact"/>
        <w:jc w:val="center"/>
        <w:rPr>
          <w:rFonts w:ascii="黑体" w:hAnsi="黑体" w:eastAsia="黑体"/>
          <w:b/>
          <w:color w:val="000000" w:themeColor="text1"/>
          <w:w w:val="96"/>
          <w:sz w:val="36"/>
          <w:szCs w:val="36"/>
          <w14:textFill>
            <w14:solidFill>
              <w14:schemeClr w14:val="tx1"/>
            </w14:solidFill>
          </w14:textFill>
        </w:rPr>
      </w:pPr>
      <w:r>
        <w:rPr>
          <w:rFonts w:hint="eastAsia" w:ascii="黑体" w:hAnsi="黑体" w:eastAsia="黑体"/>
          <w:b/>
          <w:color w:val="000000" w:themeColor="text1"/>
          <w:w w:val="96"/>
          <w:sz w:val="36"/>
          <w:szCs w:val="36"/>
          <w14:textFill>
            <w14:solidFill>
              <w14:schemeClr w14:val="tx1"/>
            </w14:solidFill>
          </w14:textFill>
        </w:rPr>
        <w:t>华</w:t>
      </w:r>
      <w:r>
        <w:rPr>
          <w:rFonts w:ascii="黑体" w:hAnsi="黑体" w:eastAsia="黑体"/>
          <w:b/>
          <w:color w:val="000000" w:themeColor="text1"/>
          <w:w w:val="96"/>
          <w:sz w:val="36"/>
          <w:szCs w:val="36"/>
          <w14:textFill>
            <w14:solidFill>
              <w14:schemeClr w14:val="tx1"/>
            </w14:solidFill>
          </w14:textFill>
        </w:rPr>
        <w:t>中科技大学</w:t>
      </w:r>
      <w:r>
        <w:rPr>
          <w:rFonts w:hint="eastAsia" w:ascii="黑体" w:hAnsi="黑体" w:eastAsia="黑体"/>
          <w:b/>
          <w:color w:val="000000" w:themeColor="text1"/>
          <w:w w:val="96"/>
          <w:sz w:val="36"/>
          <w:szCs w:val="36"/>
          <w:lang w:val="en-US" w:eastAsia="zh-CN"/>
          <w14:textFill>
            <w14:solidFill>
              <w14:schemeClr w14:val="tx1"/>
            </w14:solidFill>
          </w14:textFill>
        </w:rPr>
        <w:t>2024～2025</w:t>
      </w:r>
      <w:r>
        <w:rPr>
          <w:rFonts w:hint="eastAsia" w:ascii="黑体" w:hAnsi="黑体" w:eastAsia="黑体"/>
          <w:b/>
          <w:color w:val="000000" w:themeColor="text1"/>
          <w:w w:val="96"/>
          <w:sz w:val="36"/>
          <w:szCs w:val="36"/>
          <w14:textFill>
            <w14:solidFill>
              <w14:schemeClr w14:val="tx1"/>
            </w14:solidFill>
          </w14:textFill>
        </w:rPr>
        <w:t>学年第</w:t>
      </w:r>
      <w:r>
        <w:rPr>
          <w:rFonts w:hint="eastAsia" w:ascii="黑体" w:hAnsi="黑体" w:eastAsia="黑体"/>
          <w:b/>
          <w:color w:val="000000" w:themeColor="text1"/>
          <w:w w:val="96"/>
          <w:sz w:val="36"/>
          <w:szCs w:val="36"/>
          <w:lang w:val="en-US" w:eastAsia="zh-CN"/>
          <w14:textFill>
            <w14:solidFill>
              <w14:schemeClr w14:val="tx1"/>
            </w14:solidFill>
          </w14:textFill>
        </w:rPr>
        <w:t>一</w:t>
      </w:r>
      <w:r>
        <w:rPr>
          <w:rFonts w:hint="eastAsia" w:ascii="黑体" w:hAnsi="黑体" w:eastAsia="黑体"/>
          <w:b/>
          <w:color w:val="000000" w:themeColor="text1"/>
          <w:w w:val="96"/>
          <w:sz w:val="36"/>
          <w:szCs w:val="36"/>
          <w14:textFill>
            <w14:solidFill>
              <w14:schemeClr w14:val="tx1"/>
            </w14:solidFill>
          </w14:textFill>
        </w:rPr>
        <w:t>学期</w:t>
      </w:r>
      <w:r>
        <w:rPr>
          <w:rFonts w:ascii="黑体" w:hAnsi="黑体" w:eastAsia="黑体"/>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column">
              <wp:posOffset>-3202305</wp:posOffset>
            </wp:positionH>
            <wp:positionV relativeFrom="paragraph">
              <wp:posOffset>252730</wp:posOffset>
            </wp:positionV>
            <wp:extent cx="1102360" cy="869315"/>
            <wp:effectExtent l="0" t="0" r="0" b="0"/>
            <wp:wrapNone/>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02360" cy="869315"/>
                    </a:xfrm>
                    <a:prstGeom prst="rect">
                      <a:avLst/>
                    </a:prstGeom>
                    <a:noFill/>
                    <a:ln>
                      <a:noFill/>
                    </a:ln>
                  </pic:spPr>
                </pic:pic>
              </a:graphicData>
            </a:graphic>
          </wp:anchor>
        </w:drawing>
      </w:r>
    </w:p>
    <w:p w14:paraId="3785FFB7">
      <w:pPr>
        <w:jc w:val="center"/>
        <w:rPr>
          <w:rFonts w:hint="eastAsia" w:ascii="黑体" w:hAnsi="黑体" w:eastAsia="黑体"/>
          <w:b/>
          <w:color w:val="000000" w:themeColor="text1"/>
          <w:sz w:val="36"/>
          <w:szCs w:val="36"/>
          <w:lang w:val="en-US" w:eastAsia="zh-CN"/>
          <w14:textFill>
            <w14:solidFill>
              <w14:schemeClr w14:val="tx1"/>
            </w14:solidFill>
          </w14:textFill>
        </w:rPr>
      </w:pPr>
      <w:r>
        <w:rPr>
          <w:rFonts w:hint="eastAsia" w:ascii="黑体" w:hAnsi="黑体" w:eastAsia="黑体"/>
          <w:b/>
          <w:color w:val="000000" w:themeColor="text1"/>
          <w:sz w:val="36"/>
          <w:szCs w:val="36"/>
          <w14:textFill>
            <w14:solidFill>
              <w14:schemeClr w14:val="tx1"/>
            </w14:solidFill>
          </w14:textFill>
        </w:rPr>
        <w:t xml:space="preserve">“ </w:t>
      </w:r>
      <w:r>
        <w:rPr>
          <w:rFonts w:hint="eastAsia" w:ascii="黑体" w:hAnsi="黑体" w:eastAsia="黑体"/>
          <w:b/>
          <w:color w:val="000000" w:themeColor="text1"/>
          <w:sz w:val="36"/>
          <w:szCs w:val="36"/>
          <w:lang w:val="en-US" w:eastAsia="zh-CN"/>
          <w14:textFill>
            <w14:solidFill>
              <w14:schemeClr w14:val="tx1"/>
            </w14:solidFill>
          </w14:textFill>
        </w:rPr>
        <w:t>社会学概论</w:t>
      </w:r>
      <w:r>
        <w:rPr>
          <w:rFonts w:hint="eastAsia" w:ascii="黑体" w:hAnsi="黑体" w:eastAsia="黑体"/>
          <w:b/>
          <w:color w:val="000000" w:themeColor="text1"/>
          <w:sz w:val="36"/>
          <w:szCs w:val="36"/>
          <w14:textFill>
            <w14:solidFill>
              <w14:schemeClr w14:val="tx1"/>
            </w14:solidFill>
          </w14:textFill>
        </w:rPr>
        <w:t xml:space="preserve"> ”</w:t>
      </w:r>
      <w:r>
        <w:rPr>
          <w:rFonts w:hint="eastAsia" w:ascii="黑体" w:hAnsi="黑体" w:eastAsia="黑体"/>
          <w:b/>
          <w:color w:val="000000" w:themeColor="text1"/>
          <w:sz w:val="36"/>
          <w:szCs w:val="36"/>
          <w:lang w:val="en-US" w:eastAsia="zh-CN"/>
          <w14:textFill>
            <w14:solidFill>
              <w14:schemeClr w14:val="tx1"/>
            </w14:solidFill>
          </w14:textFill>
        </w:rPr>
        <w:t>结课论文</w:t>
      </w:r>
    </w:p>
    <w:p w14:paraId="7E0EBC8B">
      <w:pPr>
        <w:spacing w:line="440" w:lineRule="exact"/>
        <w:ind w:firstLine="120" w:firstLineChars="50"/>
        <w:jc w:val="center"/>
        <w:rPr>
          <w:rFonts w:hint="eastAsia"/>
          <w:b/>
          <w:sz w:val="24"/>
        </w:rPr>
      </w:pPr>
    </w:p>
    <w:p w14:paraId="59A9EF00">
      <w:pPr>
        <w:spacing w:line="440" w:lineRule="exact"/>
        <w:ind w:firstLine="120" w:firstLineChars="50"/>
        <w:jc w:val="center"/>
        <w:rPr>
          <w:rFonts w:hint="eastAsia"/>
          <w:b/>
          <w:sz w:val="24"/>
        </w:rPr>
      </w:pPr>
    </w:p>
    <w:p w14:paraId="3FF4B287">
      <w:pPr>
        <w:spacing w:line="440" w:lineRule="exact"/>
        <w:jc w:val="both"/>
        <w:rPr>
          <w:rFonts w:hint="eastAsia"/>
          <w:b/>
          <w:sz w:val="24"/>
        </w:rPr>
      </w:pPr>
    </w:p>
    <w:tbl>
      <w:tblPr>
        <w:tblStyle w:val="6"/>
        <w:tblpPr w:leftFromText="180" w:rightFromText="180" w:vertAnchor="text" w:horzAnchor="page" w:tblpX="3707" w:tblpY="2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0"/>
        <w:gridCol w:w="2969"/>
      </w:tblGrid>
      <w:tr w14:paraId="1FDC8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2" w:hRule="atLeast"/>
        </w:trPr>
        <w:tc>
          <w:tcPr>
            <w:tcW w:w="1990" w:type="dxa"/>
            <w:vAlign w:val="center"/>
          </w:tcPr>
          <w:p w14:paraId="13052258">
            <w:pPr>
              <w:spacing w:line="440" w:lineRule="exact"/>
              <w:jc w:val="center"/>
              <w:rPr>
                <w:rFonts w:hint="eastAsia"/>
                <w:b/>
                <w:sz w:val="24"/>
                <w:vertAlign w:val="baseline"/>
              </w:rPr>
            </w:pPr>
            <w:r>
              <w:rPr>
                <w:rFonts w:hint="eastAsia"/>
                <w:b/>
                <w:sz w:val="28"/>
                <w:szCs w:val="28"/>
              </w:rPr>
              <w:t>院（系</w:t>
            </w:r>
            <w:r>
              <w:rPr>
                <w:b/>
                <w:sz w:val="28"/>
                <w:szCs w:val="28"/>
              </w:rPr>
              <w:t>）</w:t>
            </w:r>
            <w:r>
              <w:rPr>
                <w:rFonts w:hint="eastAsia"/>
                <w:b/>
                <w:sz w:val="28"/>
                <w:szCs w:val="28"/>
              </w:rPr>
              <w:t>：</w:t>
            </w:r>
          </w:p>
        </w:tc>
        <w:tc>
          <w:tcPr>
            <w:tcW w:w="2969" w:type="dxa"/>
            <w:tcBorders>
              <w:bottom w:val="single" w:color="auto" w:sz="4" w:space="0"/>
            </w:tcBorders>
            <w:vAlign w:val="center"/>
          </w:tcPr>
          <w:p w14:paraId="7ABCE521">
            <w:pPr>
              <w:spacing w:line="440" w:lineRule="exact"/>
              <w:jc w:val="center"/>
              <w:rPr>
                <w:rFonts w:hint="eastAsia" w:eastAsia="宋体"/>
                <w:b/>
                <w:sz w:val="24"/>
                <w:vertAlign w:val="baseline"/>
                <w:lang w:val="en-US" w:eastAsia="zh-CN"/>
              </w:rPr>
            </w:pPr>
            <w:r>
              <w:rPr>
                <w:rFonts w:hint="eastAsia"/>
                <w:b/>
                <w:sz w:val="24"/>
                <w:vertAlign w:val="baseline"/>
                <w:lang w:val="en-US" w:eastAsia="zh-CN"/>
              </w:rPr>
              <w:t>公共管理学院</w:t>
            </w:r>
          </w:p>
        </w:tc>
      </w:tr>
      <w:tr w14:paraId="2CB2B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trPr>
        <w:tc>
          <w:tcPr>
            <w:tcW w:w="1990" w:type="dxa"/>
            <w:vAlign w:val="center"/>
          </w:tcPr>
          <w:p w14:paraId="699F4277">
            <w:pPr>
              <w:spacing w:line="440" w:lineRule="exact"/>
              <w:jc w:val="center"/>
              <w:rPr>
                <w:rFonts w:hint="eastAsia"/>
                <w:b/>
                <w:sz w:val="24"/>
                <w:vertAlign w:val="baseline"/>
              </w:rPr>
            </w:pPr>
            <w:r>
              <w:rPr>
                <w:rFonts w:hint="eastAsia"/>
                <w:b/>
                <w:sz w:val="28"/>
                <w:szCs w:val="28"/>
              </w:rPr>
              <w:t>专业班级：</w:t>
            </w:r>
          </w:p>
        </w:tc>
        <w:tc>
          <w:tcPr>
            <w:tcW w:w="2969" w:type="dxa"/>
            <w:tcBorders>
              <w:top w:val="single" w:color="auto" w:sz="4" w:space="0"/>
              <w:bottom w:val="single" w:color="auto" w:sz="4" w:space="0"/>
            </w:tcBorders>
            <w:vAlign w:val="center"/>
          </w:tcPr>
          <w:p w14:paraId="28C7749E">
            <w:pPr>
              <w:spacing w:line="440" w:lineRule="exact"/>
              <w:jc w:val="center"/>
              <w:rPr>
                <w:rFonts w:hint="default" w:eastAsia="宋体"/>
                <w:b/>
                <w:sz w:val="24"/>
                <w:vertAlign w:val="baseline"/>
                <w:lang w:val="en-US" w:eastAsia="zh-CN"/>
              </w:rPr>
            </w:pPr>
            <w:r>
              <w:rPr>
                <w:rFonts w:hint="eastAsia"/>
                <w:b/>
                <w:sz w:val="24"/>
                <w:vertAlign w:val="baseline"/>
                <w:lang w:val="en-US" w:eastAsia="zh-CN"/>
              </w:rPr>
              <w:t>公共事业管理2401班</w:t>
            </w:r>
          </w:p>
        </w:tc>
      </w:tr>
      <w:tr w14:paraId="2AFE9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trPr>
        <w:tc>
          <w:tcPr>
            <w:tcW w:w="1990" w:type="dxa"/>
            <w:vAlign w:val="center"/>
          </w:tcPr>
          <w:p w14:paraId="7C1A10F7">
            <w:pPr>
              <w:spacing w:line="440" w:lineRule="exact"/>
              <w:jc w:val="center"/>
              <w:rPr>
                <w:rFonts w:hint="eastAsia"/>
                <w:b/>
                <w:sz w:val="24"/>
                <w:vertAlign w:val="baseline"/>
              </w:rPr>
            </w:pPr>
            <w:r>
              <w:rPr>
                <w:rFonts w:hint="eastAsia"/>
                <w:b/>
                <w:sz w:val="28"/>
                <w:szCs w:val="28"/>
              </w:rPr>
              <w:t xml:space="preserve">学 </w:t>
            </w:r>
            <w:r>
              <w:rPr>
                <w:rFonts w:hint="eastAsia"/>
                <w:b/>
                <w:sz w:val="28"/>
                <w:szCs w:val="28"/>
                <w:lang w:val="en-US" w:eastAsia="zh-CN"/>
              </w:rPr>
              <w:t xml:space="preserve"> </w:t>
            </w:r>
            <w:r>
              <w:rPr>
                <w:rFonts w:hint="eastAsia"/>
                <w:b/>
                <w:sz w:val="28"/>
                <w:szCs w:val="28"/>
              </w:rPr>
              <w:t xml:space="preserve"> 号：</w:t>
            </w:r>
          </w:p>
        </w:tc>
        <w:tc>
          <w:tcPr>
            <w:tcW w:w="2969" w:type="dxa"/>
            <w:tcBorders>
              <w:top w:val="single" w:color="auto" w:sz="4" w:space="0"/>
              <w:bottom w:val="single" w:color="auto" w:sz="4" w:space="0"/>
            </w:tcBorders>
            <w:vAlign w:val="center"/>
          </w:tcPr>
          <w:p w14:paraId="0A618D96">
            <w:pPr>
              <w:spacing w:line="440" w:lineRule="exact"/>
              <w:jc w:val="center"/>
              <w:rPr>
                <w:rFonts w:hint="default" w:eastAsia="宋体"/>
                <w:b/>
                <w:sz w:val="24"/>
                <w:vertAlign w:val="baseline"/>
                <w:lang w:val="en-US" w:eastAsia="zh-CN"/>
              </w:rPr>
            </w:pPr>
            <w:r>
              <w:rPr>
                <w:rFonts w:hint="eastAsia"/>
                <w:b/>
                <w:sz w:val="24"/>
                <w:vertAlign w:val="baseline"/>
                <w:lang w:val="en-US" w:eastAsia="zh-CN"/>
              </w:rPr>
              <w:t>U202416071</w:t>
            </w:r>
          </w:p>
        </w:tc>
      </w:tr>
      <w:tr w14:paraId="773CA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7" w:hRule="atLeast"/>
        </w:trPr>
        <w:tc>
          <w:tcPr>
            <w:tcW w:w="1990" w:type="dxa"/>
            <w:vAlign w:val="center"/>
          </w:tcPr>
          <w:p w14:paraId="74B217FF">
            <w:pPr>
              <w:spacing w:line="440" w:lineRule="exact"/>
              <w:jc w:val="center"/>
              <w:rPr>
                <w:rFonts w:hint="eastAsia"/>
                <w:b/>
                <w:sz w:val="28"/>
                <w:szCs w:val="28"/>
              </w:rPr>
            </w:pPr>
            <w:r>
              <w:rPr>
                <w:rFonts w:hint="eastAsia"/>
                <w:b/>
                <w:sz w:val="28"/>
                <w:szCs w:val="28"/>
              </w:rPr>
              <w:t>姓   名：</w:t>
            </w:r>
          </w:p>
        </w:tc>
        <w:tc>
          <w:tcPr>
            <w:tcW w:w="2969" w:type="dxa"/>
            <w:tcBorders>
              <w:top w:val="single" w:color="auto" w:sz="4" w:space="0"/>
              <w:bottom w:val="single" w:color="auto" w:sz="4" w:space="0"/>
            </w:tcBorders>
            <w:vAlign w:val="center"/>
          </w:tcPr>
          <w:p w14:paraId="0F7FA2F1">
            <w:pPr>
              <w:spacing w:line="440" w:lineRule="exact"/>
              <w:jc w:val="center"/>
              <w:rPr>
                <w:rFonts w:hint="default" w:eastAsia="宋体"/>
                <w:b/>
                <w:sz w:val="24"/>
                <w:vertAlign w:val="baseline"/>
                <w:lang w:val="en-US" w:eastAsia="zh-CN"/>
              </w:rPr>
            </w:pPr>
            <w:r>
              <w:rPr>
                <w:rFonts w:hint="eastAsia"/>
                <w:b/>
                <w:sz w:val="24"/>
                <w:vertAlign w:val="baseline"/>
                <w:lang w:val="en-US" w:eastAsia="zh-CN"/>
              </w:rPr>
              <w:t>梅帅</w:t>
            </w:r>
          </w:p>
        </w:tc>
      </w:tr>
      <w:tr w14:paraId="1385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7" w:hRule="atLeast"/>
        </w:trPr>
        <w:tc>
          <w:tcPr>
            <w:tcW w:w="1990" w:type="dxa"/>
            <w:vAlign w:val="center"/>
          </w:tcPr>
          <w:p w14:paraId="20AD33DB">
            <w:pPr>
              <w:spacing w:line="440" w:lineRule="exact"/>
              <w:jc w:val="center"/>
              <w:rPr>
                <w:rFonts w:hint="eastAsia" w:eastAsia="宋体"/>
                <w:b/>
                <w:sz w:val="28"/>
                <w:szCs w:val="28"/>
                <w:lang w:val="en-US" w:eastAsia="zh-CN"/>
              </w:rPr>
            </w:pPr>
            <w:r>
              <w:rPr>
                <w:rFonts w:hint="eastAsia"/>
                <w:b/>
                <w:sz w:val="28"/>
                <w:szCs w:val="28"/>
                <w:lang w:val="en-US" w:eastAsia="zh-CN"/>
              </w:rPr>
              <w:t>成   绩：</w:t>
            </w:r>
          </w:p>
        </w:tc>
        <w:tc>
          <w:tcPr>
            <w:tcW w:w="2969" w:type="dxa"/>
            <w:tcBorders>
              <w:top w:val="single" w:color="auto" w:sz="4" w:space="0"/>
              <w:bottom w:val="single" w:color="auto" w:sz="4" w:space="0"/>
            </w:tcBorders>
            <w:vAlign w:val="center"/>
          </w:tcPr>
          <w:p w14:paraId="5CDF5277">
            <w:pPr>
              <w:spacing w:line="440" w:lineRule="exact"/>
              <w:jc w:val="center"/>
              <w:rPr>
                <w:rFonts w:hint="eastAsia"/>
                <w:b/>
                <w:sz w:val="24"/>
                <w:vertAlign w:val="baseline"/>
              </w:rPr>
            </w:pPr>
          </w:p>
        </w:tc>
      </w:tr>
      <w:tr w14:paraId="4357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6" w:hRule="atLeast"/>
        </w:trPr>
        <w:tc>
          <w:tcPr>
            <w:tcW w:w="1990" w:type="dxa"/>
            <w:vAlign w:val="center"/>
          </w:tcPr>
          <w:p w14:paraId="538107FA">
            <w:pPr>
              <w:spacing w:line="440" w:lineRule="exact"/>
              <w:jc w:val="center"/>
              <w:rPr>
                <w:rFonts w:hint="default"/>
                <w:b/>
                <w:sz w:val="28"/>
                <w:szCs w:val="28"/>
                <w:lang w:val="en-US" w:eastAsia="zh-CN"/>
              </w:rPr>
            </w:pPr>
            <w:r>
              <w:rPr>
                <w:rFonts w:hint="eastAsia"/>
                <w:b/>
                <w:sz w:val="28"/>
                <w:szCs w:val="28"/>
                <w:lang w:val="en-US" w:eastAsia="zh-CN"/>
              </w:rPr>
              <w:t>签   名：</w:t>
            </w:r>
          </w:p>
        </w:tc>
        <w:tc>
          <w:tcPr>
            <w:tcW w:w="2969" w:type="dxa"/>
            <w:tcBorders>
              <w:top w:val="single" w:color="auto" w:sz="4" w:space="0"/>
              <w:bottom w:val="single" w:color="auto" w:sz="4" w:space="0"/>
            </w:tcBorders>
            <w:vAlign w:val="center"/>
          </w:tcPr>
          <w:p w14:paraId="1BB0B1AE">
            <w:pPr>
              <w:spacing w:line="440" w:lineRule="exact"/>
              <w:jc w:val="center"/>
              <w:rPr>
                <w:rFonts w:hint="default" w:eastAsia="宋体"/>
                <w:b/>
                <w:sz w:val="24"/>
                <w:vertAlign w:val="baseline"/>
                <w:lang w:val="en-US" w:eastAsia="zh-CN"/>
              </w:rPr>
            </w:pPr>
          </w:p>
        </w:tc>
      </w:tr>
    </w:tbl>
    <w:p w14:paraId="6E19DF97">
      <w:pPr>
        <w:spacing w:line="440" w:lineRule="exact"/>
        <w:ind w:firstLine="120" w:firstLineChars="50"/>
        <w:jc w:val="center"/>
        <w:rPr>
          <w:rFonts w:hint="eastAsia"/>
          <w:b/>
          <w:sz w:val="24"/>
        </w:rPr>
      </w:pPr>
    </w:p>
    <w:p w14:paraId="5B0E845C">
      <w:pPr>
        <w:jc w:val="both"/>
        <w:rPr>
          <w:rFonts w:hint="default" w:ascii="黑体" w:hAnsi="黑体" w:eastAsia="黑体"/>
          <w:b/>
          <w:sz w:val="30"/>
          <w:szCs w:val="30"/>
          <w:lang w:val="en-US" w:eastAsia="zh-CN"/>
        </w:rPr>
      </w:pPr>
    </w:p>
    <w:p w14:paraId="5CCCC95B">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7865496C">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41924FAD">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224D0C4C">
      <w:pPr>
        <w:jc w:val="center"/>
        <w:rPr>
          <w:rFonts w:hint="eastAsia" w:ascii="黑体" w:hAnsi="黑体" w:eastAsia="黑体"/>
          <w:b/>
          <w:sz w:val="30"/>
          <w:szCs w:val="30"/>
          <w:lang w:val="en-US" w:eastAsia="zh-CN"/>
        </w:rPr>
      </w:pPr>
    </w:p>
    <w:p w14:paraId="218374B4">
      <w:pPr>
        <w:jc w:val="center"/>
        <w:rPr>
          <w:rFonts w:hint="eastAsia" w:ascii="黑体" w:hAnsi="黑体" w:eastAsia="黑体"/>
          <w:b w:val="0"/>
          <w:bCs/>
          <w:sz w:val="30"/>
          <w:szCs w:val="30"/>
          <w:lang w:val="en-US" w:eastAsia="zh-CN"/>
        </w:rPr>
      </w:pPr>
    </w:p>
    <w:p w14:paraId="396A1108">
      <w:pPr>
        <w:jc w:val="center"/>
        <w:rPr>
          <w:rFonts w:hint="eastAsia" w:ascii="黑体" w:hAnsi="黑体" w:eastAsia="黑体"/>
          <w:b w:val="0"/>
          <w:bCs/>
          <w:sz w:val="30"/>
          <w:szCs w:val="30"/>
          <w:lang w:val="en-US" w:eastAsia="zh-CN"/>
        </w:rPr>
      </w:pPr>
    </w:p>
    <w:p w14:paraId="7C2BAD9E">
      <w:pPr>
        <w:jc w:val="center"/>
        <w:rPr>
          <w:rFonts w:hint="eastAsia" w:ascii="黑体" w:hAnsi="黑体" w:eastAsia="黑体"/>
          <w:b w:val="0"/>
          <w:bCs/>
          <w:sz w:val="30"/>
          <w:szCs w:val="30"/>
          <w:lang w:val="en-US" w:eastAsia="zh-CN"/>
        </w:rPr>
      </w:pPr>
    </w:p>
    <w:p w14:paraId="10B2569F">
      <w:pPr>
        <w:jc w:val="center"/>
        <w:rPr>
          <w:rFonts w:hint="eastAsia" w:ascii="黑体" w:hAnsi="黑体" w:eastAsia="黑体"/>
          <w:b/>
          <w:sz w:val="28"/>
          <w:szCs w:val="28"/>
          <w:lang w:val="en-US" w:eastAsia="zh-CN"/>
        </w:rPr>
      </w:pPr>
    </w:p>
    <w:p w14:paraId="5F89663F">
      <w:pPr>
        <w:jc w:val="center"/>
        <w:rPr>
          <w:rFonts w:hint="eastAsia" w:ascii="黑体" w:hAnsi="黑体" w:eastAsia="黑体"/>
          <w:b/>
          <w:sz w:val="28"/>
          <w:szCs w:val="28"/>
          <w:lang w:val="en-US" w:eastAsia="zh-CN"/>
        </w:rPr>
      </w:pPr>
    </w:p>
    <w:p w14:paraId="696201C4">
      <w:pPr>
        <w:jc w:val="center"/>
        <w:rPr>
          <w:rFonts w:hint="eastAsia" w:ascii="黑体" w:hAnsi="黑体" w:eastAsia="黑体"/>
          <w:b/>
          <w:sz w:val="28"/>
          <w:szCs w:val="28"/>
          <w:lang w:val="en-US" w:eastAsia="zh-CN"/>
        </w:rPr>
      </w:pPr>
    </w:p>
    <w:p w14:paraId="449A3654">
      <w:pPr>
        <w:jc w:val="center"/>
        <w:rPr>
          <w:rFonts w:hint="eastAsia" w:ascii="黑体" w:hAnsi="黑体" w:eastAsia="黑体"/>
          <w:b/>
          <w:sz w:val="28"/>
          <w:szCs w:val="28"/>
          <w:lang w:val="en-US" w:eastAsia="zh-CN"/>
        </w:rPr>
      </w:pPr>
      <w:r>
        <w:rPr>
          <w:rFonts w:hint="eastAsia" w:ascii="黑体" w:hAnsi="黑体" w:eastAsia="黑体"/>
          <w:b/>
          <w:sz w:val="28"/>
          <w:szCs w:val="28"/>
          <w:lang w:val="en-US" w:eastAsia="zh-CN"/>
        </w:rPr>
        <w:t>提交日期</w:t>
      </w:r>
    </w:p>
    <w:p w14:paraId="7D803E78">
      <w:pPr>
        <w:jc w:val="center"/>
        <w:rPr>
          <w:rFonts w:hint="eastAsia" w:ascii="黑体" w:hAnsi="黑体" w:eastAsia="黑体"/>
          <w:b/>
          <w:sz w:val="28"/>
          <w:szCs w:val="28"/>
          <w:lang w:val="en-US" w:eastAsia="zh-CN"/>
        </w:rPr>
      </w:pPr>
    </w:p>
    <w:p w14:paraId="1F17E5F4">
      <w:pPr>
        <w:rPr>
          <w:rFonts w:hint="default" w:ascii="黑体" w:hAnsi="黑体" w:eastAsia="黑体"/>
          <w:b/>
          <w:sz w:val="28"/>
          <w:szCs w:val="28"/>
          <w:lang w:val="en-US" w:eastAsia="zh-CN"/>
        </w:rPr>
      </w:pPr>
      <w:r>
        <w:rPr>
          <w:rFonts w:hint="default" w:ascii="黑体" w:hAnsi="黑体" w:eastAsia="黑体"/>
          <w:b/>
          <w:sz w:val="28"/>
          <w:szCs w:val="28"/>
          <w:lang w:val="en-US" w:eastAsia="zh-CN"/>
        </w:rPr>
        <w:br w:type="page"/>
      </w:r>
    </w:p>
    <w:p w14:paraId="3DC91661">
      <w:pPr>
        <w:pStyle w:val="2"/>
        <w:keepNext w:val="0"/>
        <w:keepLines w:val="0"/>
        <w:widowControl/>
        <w:suppressLineNumbers w:val="0"/>
        <w:ind w:left="0" w:firstLine="0"/>
        <w:jc w:val="center"/>
        <w:rPr>
          <w:rStyle w:val="8"/>
          <w:rFonts w:hint="eastAsia" w:ascii="方正小标宋_GBK" w:hAnsi="方正小标宋_GBK" w:eastAsia="方正小标宋_GBK" w:cs="方正小标宋_GBK"/>
          <w:b/>
          <w:i w:val="0"/>
          <w:iCs w:val="0"/>
          <w:caps w:val="0"/>
          <w:color w:val="000000"/>
          <w:spacing w:val="0"/>
          <w:sz w:val="32"/>
          <w:szCs w:val="32"/>
          <w:highlight w:val="none"/>
          <w:u w:val="none"/>
          <w:lang w:val="en-US" w:eastAsia="zh-CN"/>
        </w:rPr>
      </w:pPr>
      <w:r>
        <w:rPr>
          <w:rStyle w:val="8"/>
          <w:rFonts w:hint="eastAsia" w:ascii="方正小标宋_GBK" w:hAnsi="方正小标宋_GBK" w:eastAsia="方正小标宋_GBK" w:cs="方正小标宋_GBK"/>
          <w:b/>
          <w:i w:val="0"/>
          <w:iCs w:val="0"/>
          <w:caps w:val="0"/>
          <w:color w:val="000000"/>
          <w:spacing w:val="0"/>
          <w:sz w:val="32"/>
          <w:szCs w:val="32"/>
          <w:highlight w:val="none"/>
          <w:u w:val="none"/>
          <w:lang w:val="en-US" w:eastAsia="zh-CN"/>
        </w:rPr>
        <w:t>当代南方地区宗族关系中的学业竞争</w:t>
      </w:r>
    </w:p>
    <w:p w14:paraId="34ECEF21">
      <w:pPr>
        <w:pStyle w:val="2"/>
        <w:keepNext w:val="0"/>
        <w:keepLines w:val="0"/>
        <w:widowControl/>
        <w:numPr>
          <w:ilvl w:val="0"/>
          <w:numId w:val="1"/>
        </w:numPr>
        <w:suppressLineNumbers w:val="0"/>
        <w:ind w:leftChars="0"/>
        <w:outlineLvl w:val="2"/>
        <w:rPr>
          <w:rStyle w:val="8"/>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8"/>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绪论</w:t>
      </w:r>
    </w:p>
    <w:p w14:paraId="57894FEE">
      <w:pPr>
        <w:numPr>
          <w:ilvl w:val="0"/>
          <w:numId w:val="2"/>
        </w:numPr>
        <w:rPr>
          <w:rFonts w:hint="eastAsia"/>
          <w:sz w:val="24"/>
          <w:szCs w:val="24"/>
          <w:lang w:val="en-US" w:eastAsia="zh-CN"/>
        </w:rPr>
      </w:pPr>
      <w:r>
        <w:rPr>
          <w:rFonts w:hint="eastAsia"/>
          <w:sz w:val="24"/>
          <w:szCs w:val="24"/>
          <w:lang w:val="en-US" w:eastAsia="zh-CN"/>
        </w:rPr>
        <w:t>研究背景</w:t>
      </w:r>
    </w:p>
    <w:p w14:paraId="4CF24039">
      <w:pPr>
        <w:numPr>
          <w:ilvl w:val="0"/>
          <w:numId w:val="0"/>
        </w:numPr>
        <w:rPr>
          <w:rFonts w:hint="eastAsia"/>
          <w:sz w:val="24"/>
          <w:szCs w:val="24"/>
          <w:lang w:val="en-US" w:eastAsia="zh-CN"/>
        </w:rPr>
      </w:pPr>
    </w:p>
    <w:p w14:paraId="25F0D3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南方地区的宗族文化长期与教育深度绑定。以清代徽州为代表的南方宗族，曾通过族规倡导、办学资助等方式构建“教育－人才－经济－文化”的良性循环，“崇儒重教”的传统延续至今；同时，宗族基于血缘的信任与互助，也常为家庭缓解教育资金约束，这一特性让南方宗族对区域教育的促进作用更显突出——历史上“南盛于北”的宗族分布，使得这类教育支持网络在南方地区更为密集。在改革开放前，这种宗族资源常向家族中“有天分”的孩子倾斜，形成大家族集中资助个体求学的传统模式。</w:t>
      </w:r>
    </w:p>
    <w:p w14:paraId="5032FFE8">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4"/>
          <w:szCs w:val="24"/>
          <w:lang w:val="en-US" w:eastAsia="zh-CN"/>
        </w:rPr>
      </w:pPr>
    </w:p>
    <w:p w14:paraId="620156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改革开放后，教育环境的剧变重塑了宗族内的学业竞争。义务教育制度的推行、“希望工程”的落地，让适龄儿童基本实现入学；1999年高校扩招更大幅增加了高中与大学的教育机会。但资源的扩张仍赶不上需求的增长：2024年全国普高升学率仅61.02%（初中毕业生1698.24万人，普通高中招生1036.20万人）</w:t>
      </w:r>
      <w:r>
        <w:rPr>
          <w:rStyle w:val="10"/>
          <w:rFonts w:hint="eastAsia" w:ascii="仿宋_GB2312" w:hAnsi="仿宋_GB2312" w:eastAsia="仿宋_GB2312" w:cs="仿宋_GB2312"/>
          <w:sz w:val="24"/>
          <w:szCs w:val="24"/>
          <w:lang w:val="en-US" w:eastAsia="zh-CN"/>
        </w:rPr>
        <w:footnoteReference w:id="0"/>
      </w:r>
      <w:r>
        <w:rPr>
          <w:rFonts w:hint="eastAsia" w:ascii="仿宋_GB2312" w:hAnsi="仿宋_GB2312" w:eastAsia="仿宋_GB2312" w:cs="仿宋_GB2312"/>
          <w:sz w:val="24"/>
          <w:szCs w:val="24"/>
          <w:lang w:val="en-US" w:eastAsia="zh-CN"/>
        </w:rPr>
        <w:t>，本科升学率为36.51%（高考报名1342万人，普通本科招生489.97万人）</w:t>
      </w:r>
      <w:r>
        <w:rPr>
          <w:rStyle w:val="10"/>
          <w:rFonts w:hint="eastAsia" w:ascii="仿宋_GB2312" w:hAnsi="仿宋_GB2312" w:eastAsia="仿宋_GB2312" w:cs="仿宋_GB2312"/>
          <w:sz w:val="24"/>
          <w:szCs w:val="24"/>
          <w:lang w:val="en-US" w:eastAsia="zh-CN"/>
        </w:rPr>
        <w:footnoteReference w:id="1"/>
      </w:r>
      <w:r>
        <w:rPr>
          <w:rFonts w:hint="eastAsia" w:ascii="仿宋_GB2312" w:hAnsi="仿宋_GB2312" w:eastAsia="仿宋_GB2312" w:cs="仿宋_GB2312"/>
          <w:sz w:val="24"/>
          <w:szCs w:val="24"/>
          <w:lang w:val="en-US" w:eastAsia="zh-CN"/>
        </w:rPr>
        <w:t>，有限的升学通道让家庭的教育焦虑持续升温。</w:t>
      </w:r>
    </w:p>
    <w:p w14:paraId="1E2E63F9">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4"/>
          <w:szCs w:val="24"/>
          <w:lang w:val="en-US" w:eastAsia="zh-CN"/>
        </w:rPr>
      </w:pPr>
    </w:p>
    <w:p w14:paraId="4FC2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现代化进程又为这种焦虑叠加了新的张力。城市化流动让“00后”家庭与宗族亲属分居各地，下一代从小缺乏亲密的宗族互动，传统扩大家庭逐渐退化为核心家庭；内卷化的学业竞争则压缩了青少年的休闲空间，家长的社交重心转向同学家长圈子，“断亲”现象虽有所显现，但南方宗族的亲属网络仍在学业领域发挥作用——只是其功能已从传统的资源资助，转向了亲戚间的学业攀比。不少家长既羡慕宗族里“别人家的孩子”，又试图在亲属面前维系教育优越感，这种微妙的竞争在南方大姓宗族中愈发常见。</w:t>
      </w:r>
    </w:p>
    <w:p w14:paraId="5BB5F482">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4"/>
          <w:szCs w:val="24"/>
          <w:lang w:val="en-US" w:eastAsia="zh-CN"/>
        </w:rPr>
      </w:pPr>
    </w:p>
    <w:p w14:paraId="00A15B13">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br w:type="page"/>
      </w:r>
    </w:p>
    <w:p w14:paraId="464BECFA">
      <w:pPr>
        <w:rPr>
          <w:rFonts w:hint="eastAsia"/>
          <w:lang w:val="en-US" w:eastAsia="zh-CN"/>
        </w:rPr>
      </w:pPr>
      <w:r>
        <w:rPr>
          <w:rFonts w:hint="eastAsia"/>
          <w:lang w:val="en-US" w:eastAsia="zh-CN"/>
        </w:rPr>
        <w:t>（二）核心概念界定</w:t>
      </w:r>
    </w:p>
    <w:p w14:paraId="0CBD18E2">
      <w:pPr>
        <w:rPr>
          <w:rFonts w:hint="eastAsia"/>
          <w:lang w:val="en-US" w:eastAsia="zh-CN"/>
        </w:rPr>
      </w:pPr>
    </w:p>
    <w:p w14:paraId="1A4B19E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“宗族”不只是简单的血缘群体，而是在教育、经济、社会管理中发挥核心作用的组织</w:t>
      </w:r>
      <w:r>
        <w:rPr>
          <w:rStyle w:val="10"/>
          <w:rFonts w:hint="eastAsia" w:ascii="仿宋_GB2312" w:hAnsi="仿宋_GB2312" w:eastAsia="仿宋_GB2312" w:cs="仿宋_GB2312"/>
          <w:b w:val="0"/>
          <w:bCs w:val="0"/>
          <w:sz w:val="24"/>
          <w:szCs w:val="24"/>
          <w:highlight w:val="none"/>
          <w:lang w:val="en-US" w:eastAsia="zh-CN"/>
        </w:rPr>
        <w:footnoteReference w:id="2"/>
      </w:r>
      <w:r>
        <w:rPr>
          <w:rFonts w:hint="eastAsia" w:ascii="仿宋_GB2312" w:hAnsi="仿宋_GB2312" w:eastAsia="仿宋_GB2312" w:cs="仿宋_GB2312"/>
          <w:b w:val="0"/>
          <w:bCs w:val="0"/>
          <w:sz w:val="24"/>
          <w:szCs w:val="24"/>
          <w:highlight w:val="none"/>
          <w:lang w:val="en-US" w:eastAsia="zh-CN"/>
        </w:rPr>
        <w:t>。</w:t>
      </w:r>
    </w:p>
    <w:p w14:paraId="672B61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1B07B0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南方宗族”，是指以祠堂、家谱及县级层面家谱密度为核心标志的中国南方社群形态，其并非单纯的血缘群体，而是在教育、经济、社会管理等领域发挥核心组织作用的社群形态。相较于北方地区，当代南方宗族的组织凝聚力更发达，对区域内教育资源的整合与人力资本投资的促进作用也更为全面且持续。</w:t>
      </w:r>
    </w:p>
    <w:p w14:paraId="0D66E2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01159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作为“南方宗族”的核心联结形式，“宗族关系”以“亲属网络”为具体载体。该网络不仅涵盖父母，更扩展至祖辈、父辈同胞等成员，包含规模、社会经济、文化三类资源，这些资源的分配与流动，正是宗族关系中学业竞争的核心依托。</w:t>
      </w:r>
    </w:p>
    <w:p w14:paraId="3C218C8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7F8F2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学业竞争的典型表现之一是“同胞竞争效应”，即宗族亲属网络内的子女，其教育获得会受同胞的性别结构、年龄差距等因素影响的现象。这一效应的形成逻辑，可通过资源配置论（家庭依教育投资回报率分配资源）、群集理论（同胞结构作用于智力发展）、资源集中论（家庭向特定子女集中教育资源）等理论加以支撑。</w:t>
      </w:r>
    </w:p>
    <w:p w14:paraId="4B174DB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D3D158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传统的“南方宗族”，在当代已分化为两类主要形态：</w:t>
      </w:r>
    </w:p>
    <w:p w14:paraId="161D142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1）“扩展家庭”（主流形式）</w:t>
      </w:r>
    </w:p>
    <w:p w14:paraId="79D46B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核心家庭以父母及未婚子女组成，是当代基础家庭单元，脱离了宗族聚居与宗法约束，以小家庭生活为核心；扩展家庭（如三代同堂）多是基于情感、养老的自愿组合，无传统宗族的等级与强制义务。</w:t>
      </w:r>
    </w:p>
    <w:p w14:paraId="1284B9B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2）“现代宗亲组织”（宗亲会、姓氏文化研究会）</w:t>
      </w:r>
    </w:p>
    <w:p w14:paraId="6ECA025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这类组织不再有宗法权力，仅作为文化情感联络、公益互助的自愿社群。</w:t>
      </w:r>
    </w:p>
    <w:p w14:paraId="6FBD72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AECFE0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“扩展家庭”和“现代宗亲组织”均褪去了传统宗族的宗法色彩，更强调个体独立与平等联结。</w:t>
      </w:r>
    </w:p>
    <w:p w14:paraId="5117095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A50EB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需要说明的是，当代南方宗族关系正伴随“断亲”现象发生形态变化。“断亲”指年轻人懒于、疏于甚至不屑于与二代以内宗族亲属互动，在心理层面主动与亲属“绝缘”的状态，其核心特征是“似断非断”，未正式断绝血缘联结，但亲属关系距离已显著拉远。这一现象也会对宗族学业竞争的互动模式与资源流动逻辑产生直接影响。</w:t>
      </w:r>
    </w:p>
    <w:p w14:paraId="6EEB2EA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28C03C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为了分析方便，“宗族关系中的学业竞争”可以简化为“宗族学业竞争”。</w:t>
      </w:r>
    </w:p>
    <w:p w14:paraId="61618EC1">
      <w:pPr>
        <w:numPr>
          <w:ilvl w:val="0"/>
          <w:numId w:val="0"/>
        </w:numPr>
        <w:rPr>
          <w:rFonts w:hint="eastAsia" w:ascii="仿宋_GB2312" w:hAnsi="仿宋_GB2312" w:eastAsia="仿宋_GB2312" w:cs="仿宋_GB2312"/>
          <w:b w:val="0"/>
          <w:bCs w:val="0"/>
          <w:sz w:val="24"/>
          <w:szCs w:val="24"/>
          <w:highlight w:val="none"/>
          <w:lang w:val="en-US" w:eastAsia="zh-CN"/>
        </w:rPr>
      </w:pPr>
    </w:p>
    <w:p w14:paraId="7DD94029">
      <w:pPr>
        <w:numPr>
          <w:ilvl w:val="0"/>
          <w:numId w:val="0"/>
        </w:numPr>
        <w:rPr>
          <w:rFonts w:hint="eastAsia" w:ascii="仿宋_GB2312" w:hAnsi="仿宋_GB2312" w:eastAsia="仿宋_GB2312" w:cs="仿宋_GB2312"/>
          <w:b w:val="0"/>
          <w:bCs w:val="0"/>
          <w:sz w:val="24"/>
          <w:szCs w:val="24"/>
          <w:highlight w:val="none"/>
          <w:lang w:val="en-US" w:eastAsia="zh-CN"/>
        </w:rPr>
      </w:pPr>
    </w:p>
    <w:p w14:paraId="6B21E4DB">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（三）研究思路与方法</w:t>
      </w:r>
    </w:p>
    <w:p w14:paraId="0031267F">
      <w:pPr>
        <w:numPr>
          <w:ilvl w:val="0"/>
          <w:numId w:val="0"/>
        </w:numPr>
        <w:rPr>
          <w:rFonts w:hint="eastAsia" w:ascii="仿宋_GB2312" w:hAnsi="仿宋_GB2312" w:eastAsia="仿宋_GB2312" w:cs="仿宋_GB2312"/>
          <w:b w:val="0"/>
          <w:bCs w:val="0"/>
          <w:sz w:val="24"/>
          <w:szCs w:val="24"/>
          <w:highlight w:val="none"/>
          <w:lang w:val="en-US" w:eastAsia="zh-CN"/>
        </w:rPr>
      </w:pPr>
    </w:p>
    <w:p w14:paraId="0146EFD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本文聚焦“当代南方地区宗族关系中的学业竞争”，主要采用文献研究法，通过广泛对比阅读相关文献来展开分析：一方面会借鉴已有研究中的核心内容，比如把亲属网络资源分成规模、社会经济、文化三类的分类方式，再结合南方宗族凝聚力的衡量办法（像用县级层面的家谱密度来判断宗族发达程度），明确宗族关系在学业竞争中的作用方式；另一方面也会参考现有文献中关于学业竞争的研究角度，比如同胞的性别、年龄差距对受教育情况的影响等，来搭建宗族关系和学业竞争之间的关联框架。</w:t>
      </w:r>
    </w:p>
    <w:p w14:paraId="2FCA46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4F267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具体方法上，我主要是通过对比阅读文献来推进研究：参考相关论文里拆解宗族作用路径的思路，梳理南方宗族影响学业竞争的可能机制；同时也会借鉴一些研究里的设计思路（比如控制家庭规模、孩子初始适应水平等变量的方式），来让文献分析更贴合“当代南方地区宗族关系中的学业竞争”这一主题，保证分析的合理性。</w:t>
      </w:r>
    </w:p>
    <w:p w14:paraId="3051D86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9F5A9C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C58AC7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二、文献综述</w:t>
      </w:r>
    </w:p>
    <w:p w14:paraId="7D86202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1C0722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从历史脉络看，南方宗族与教育的绑定早有传统。正如《清代徽州宗族对人才培养的重视及其影响》所揭示的，清代徽州宗族并非单纯的血缘群体，而是兼具教育、经济功能的组织，其“人才培养”既指向科举仕进，也涵盖支撑徽商与宗族管理的文化人才。在那个交通闭塞、生产力有限的农业社会，大家庭的亲情集齐了血缘、地缘、业缘等多重联结，就算有矛盾也能维系紧密关系</w:t>
      </w:r>
      <w:r>
        <w:rPr>
          <w:rStyle w:val="10"/>
          <w:rFonts w:hint="eastAsia" w:ascii="仿宋_GB2312" w:hAnsi="仿宋_GB2312" w:eastAsia="仿宋_GB2312" w:cs="仿宋_GB2312"/>
          <w:b w:val="0"/>
          <w:bCs w:val="0"/>
          <w:sz w:val="24"/>
          <w:szCs w:val="24"/>
          <w:highlight w:val="none"/>
          <w:lang w:val="en-US" w:eastAsia="zh-CN"/>
        </w:rPr>
        <w:footnoteReference w:id="3"/>
      </w:r>
      <w:r>
        <w:rPr>
          <w:rFonts w:hint="eastAsia" w:ascii="仿宋_GB2312" w:hAnsi="仿宋_GB2312" w:eastAsia="仿宋_GB2312" w:cs="仿宋_GB2312"/>
          <w:b w:val="0"/>
          <w:bCs w:val="0"/>
          <w:sz w:val="24"/>
          <w:szCs w:val="24"/>
          <w:highlight w:val="none"/>
          <w:lang w:val="en-US" w:eastAsia="zh-CN"/>
        </w:rPr>
        <w:t>；而徽州宗族正是借由族规家法（如江氏《蒙规》）规范子弟学习、办学延师保障教育资源、褒奖资助激励升学的系统措施，让“教育－人才－经济－文化”形成良性循环，既营造了好学风气，也为宗族凝聚力筑牢了基础。这种“以教兴族”的传统，也成为当代南方宗族影响学业的文化底色。</w:t>
      </w:r>
    </w:p>
    <w:p w14:paraId="570C2BB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39BA1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转向当代语境，亲属网络对学业的影响不再局限于核心家庭。《亲属网络视角下的儿童学业成就：影响机制与阶层差异》打破了“仅父母影响子女学业”的固有认知，将研究扩展到祖辈、父辈同胞组成的宗族亲属网络。它跳出了“祖辈仅间接作用于孙辈”的“两代模型”，提出这类亲属会通过两种机制直接参与学业过程：一是祖辈的“社会支持机制”，即通过日常照料、经济帮扶缓解父母育儿压力，还能借“祖辈曝光”拉近亲属网络，让资源更多流向孩子；二是父辈同胞的“价值观形塑机制”，那些有高学历、向上流动经历的叔伯姑姨，会传递重视教育的观念，提升孩子的学业期望。而这种影响还存在阶层差异：对低阶层家庭的孩子，宗族亲属资源能弥补育儿不足、摆脱“反学校”环境；但高阶层家庭本身资源充足，宗族的作用反而陷入“天花板效应”。</w:t>
      </w:r>
    </w:p>
    <w:p w14:paraId="22B3DAC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527BCE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聚焦南方地区的特殊性，宗族对学业竞争的支撑作用体现得更为突出。梁若冰、任伟聪在《宗族组织、信贷约束与农村人力资本积累：基于 “大学扩招” 的实证研究》中，以县级家谱密度衡量宗族发达程度，研究发现：1999 年大学扩招后，南方宗族发达地区的高中、大学入学率提升更为全面且具有持续性，而北方宗族仅对当地高中入学率提升存在正向作用。这一差异恰好与宗族 “南盛于北” 的地域分布特点相吻合。</w:t>
      </w:r>
    </w:p>
    <w:p w14:paraId="3910165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A5F6C2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其核心作用机制并非单纯的文化观念倡导，而是宗族依托血缘纽带形成的非正式借贷体系。正如《宗族对农村人力资本投资的影响分析》所验证的，宗族不仅能通过 “光宗耀祖” 的观念提升家庭的教育投入意愿、借助族学等公共教育资源补充本地教育供给，还能以社会资本为依托缓解家庭的借贷约束；不过，这一促进作用存在显著的性别差异，其对男性受教育年限的提升效果更为突出。背后 “延续香火” 的宗族观念，使得学业资源向男孩倾斜，这也间接加剧了同胞之间的学业竞争。</w:t>
      </w:r>
    </w:p>
    <w:p w14:paraId="58002A8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7FC843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学界认为，扩展家庭具有缓冲功能，在学业竞争中可发挥润滑或助推作用。《Living with grandparents-Multi-generational families and the academic performance of grandchildren in China》一文，对 “核心家庭已取代扩展家庭” 的结论进行了反思，并研究发现：选择三代同住的家庭，其核心动因多为满足家庭功能需求 —— 当母亲外出务工、父亲处于较低职业阶层，或是单亲家庭时，往往会由祖辈承担托养责任，或代行家长职责为孩子提供必要服务，进而实现人力补充效用。</w:t>
      </w:r>
    </w:p>
    <w:p w14:paraId="222B303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42291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此外，该研究还指出，三代共居对学业产生的积极效应，在低收入群体中表现得尤为突出，呈现出 “群体异质性补偿效应”。具体而言，这类家庭可借助更充分的内部社会资本（如相对一致的教育期望、良好的亲子互动）与更优质的外部社会资本（如和谐的同学关系、更高的学校融入度），以最低成本将有限资源高效转化为人力资本，从而更深入地参与到孩子的学业竞争中，这一效应并非单纯提升亲子交往频次所致。</w:t>
      </w:r>
    </w:p>
    <w:p w14:paraId="321C18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3709E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宗族关系的场域中，学业竞争还会以“同胞竞争”的形式具象化。《中国农村子女教育同胞竞争效应研究》提出的“资源配置论”“资源集中论”，恰好解释了这种竞争的逻辑：当家庭资源有限、宗族重男轻女观念较强时，教育投入会偏向男孩，同胞间的学业竞争也会更激烈。男孩若有姐妹或年龄差距大的哥哥，更易获得教育资源；而女孩若有兄弟，则可能被牺牲教育机会。这种竞争的强度，也能通过符号互动论的“情境定义”来理解：宗族成员并非直接对彼此的行为反应，而是通过互动赋予“学业成功”“宗族脸面”的意义，再通过内在阐释决定行动。比如亲属间的学业攀比，会让家庭更倾向于集中资源投入“更有希望”的孩子，这也让宗族场域中的学业竞争，既带着传统血缘的联结，也藏着现代资源分配的理性算计。</w:t>
      </w:r>
    </w:p>
    <w:p w14:paraId="3514A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D813D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2FC0D34">
      <w:pPr>
        <w:rPr>
          <w:rFonts w:hint="eastAsia" w:asciiTheme="majorEastAsia" w:hAnsiTheme="majorEastAsia" w:eastAsiaTheme="majorEastAsia" w:cstheme="majorEastAsia"/>
          <w:b/>
          <w:bCs/>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br w:type="page"/>
      </w:r>
    </w:p>
    <w:p w14:paraId="167EDB7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三、现实表现</w:t>
      </w:r>
    </w:p>
    <w:p w14:paraId="2882A56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2272D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当代南方地区，内卷化的学业竞争早已悄然重塑了宗族亲属间的互动模式。不少青少年的休闲时间被刷题、补课填满，日常交往圈基本围绕同学展开，家长们也更倾向于构建“同学家长互助圈”，原本走亲访友的宗族互动空间被大幅挤压。就像《青年“断亲”：何以发生？何去何从？（胡小武-南京大学）》中观察到的那样，学业竞争成了宗族交往“淡味”的重要推手。</w:t>
      </w:r>
    </w:p>
    <w:p w14:paraId="4EAECAC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261937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种竞争也渗透进了宗族亲属网络的日常里。南方宗族中，祖辈人数越多，能给孩子提供的日常照料、情感陪伴就越充足，甚至能帮着分担育儿压力；而那些受教育程度高、有向上流动经历的叔伯姑姨，会不自觉地向晚辈传递“读书改变命运”的价值观，这在无形中让同辈亲属间形成了暗自较劲的学业氛围。比如一位户籍江苏南通的华中科技大学本科生就提到，自家的同姓宗族大家族群里，只要聊起孩子的学业，“八十个人就有八十个心眼”，有人侃侃而谈刷优越感，有人旁敲侧击探听情况，宗族里的温情常被学业竞争的微妙张力冲淡。这一现象也印证了《亲属网络视角下的儿童学业成就：影响机制与阶层差异》的研究结论：亲属网络既会提供学业支持，也会催生同辈竞争。</w:t>
      </w:r>
    </w:p>
    <w:p w14:paraId="7E6B139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942FA3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宗族组织对学业的支持，同样带着竞争的底色。在南方有祠堂、家谱的宗族村庄里，个人受教育年限平均能提高1.3年，考虑内生性因素后这一幅度甚至能达到3.8年</w:t>
      </w:r>
      <w:r>
        <w:rPr>
          <w:rStyle w:val="10"/>
          <w:rFonts w:hint="eastAsia" w:ascii="仿宋_GB2312" w:hAnsi="仿宋_GB2312" w:eastAsia="仿宋_GB2312" w:cs="仿宋_GB2312"/>
          <w:b w:val="0"/>
          <w:bCs w:val="0"/>
          <w:sz w:val="24"/>
          <w:szCs w:val="24"/>
          <w:highlight w:val="none"/>
          <w:lang w:val="en-US" w:eastAsia="zh-CN"/>
        </w:rPr>
        <w:footnoteReference w:id="4"/>
      </w:r>
      <w:r>
        <w:rPr>
          <w:rFonts w:hint="eastAsia" w:ascii="仿宋_GB2312" w:hAnsi="仿宋_GB2312" w:eastAsia="仿宋_GB2312" w:cs="仿宋_GB2312"/>
          <w:b w:val="0"/>
          <w:bCs w:val="0"/>
          <w:sz w:val="24"/>
          <w:szCs w:val="24"/>
          <w:highlight w:val="none"/>
          <w:lang w:val="en-US" w:eastAsia="zh-CN"/>
        </w:rPr>
        <w:t>；但这种支持存在明显的性别倾斜——男性受教育年限可提高约1.6年，女性却几乎不受影响，隐约透出宗族“延续香火”观念下的资源偏向。1999年大学扩招后，南方宗族发达地区的高中、大学入学率提升得更显著，这背后其实是宗族基于血缘的非正式借贷，帮家庭缓解了教育资金压力。而在农村宗族多子女家庭中，学业竞争更直接：男孩有姐妹或年龄差距大的哥哥，往往更易获得教育资源；女孩若有兄弟，则可能面临资源被分流的情况，且这种竞争在低收入、父母受教育水平低的宗族家庭里会更激烈。</w:t>
      </w:r>
    </w:p>
    <w:p w14:paraId="59DFC8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10716D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三代共居的宗族家庭里，学业竞争与资源补偿是并存的。《Living with grandparents -  Multi-generational families and the academic performance of grandchildren in China》的研究显示，这类家庭的青少年学业表现普遍更好，尤其能弥补低收入、单亲家庭的资源不足；但同辈亲属间的学业比拼也更突出。2025年7月福建安溪的“詹舒雯事件”就是典型。这位以692分考入北大的女孩，让家族打破了数百年“女性不得入祠”的传统，不仅获得12万元家族奖学金，名字还被描金贴进祠堂功名榜。这份荣光的背后，其实是宗族对“学业优胜者”的极致认可，也暗含着对其他晚辈的竞争激励。如今南方不少宗族仍保留着奖学习俗，比如丰州黄氏已募集100万元奖学资金，学业成绩依旧是宗族内部“光宗耀祖”的重要标准。</w:t>
      </w:r>
    </w:p>
    <w:p w14:paraId="45D8D18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83304E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D0AA3CA">
      <w:pPr>
        <w:rPr>
          <w:rFonts w:hint="eastAsia" w:asciiTheme="majorEastAsia" w:hAnsiTheme="majorEastAsia" w:eastAsiaTheme="majorEastAsia" w:cstheme="majorEastAsia"/>
          <w:b/>
          <w:bCs/>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br w:type="page"/>
      </w:r>
    </w:p>
    <w:p w14:paraId="1754C33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四、形成机制</w:t>
      </w:r>
    </w:p>
    <w:p w14:paraId="4227A1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668A9E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关系与学业竞争的交织，其实可以用符号互动论的“情境定义”来理解。人们并非直接对宗族成员的行为做出反应，而是基于对“宗族角色”与“教育意义”的共同理解来行动：行动前，他们会先在心里阐释宗族互动与学业竞争的关联，再决定如何参与其中。而当前这一关系的凸显，首先受到多重社会与个体因素的影响。内卷化的教育环境让青少年的时间被学业完全填满，日常交往基本围绕同学展开，家长也更倾向于构建同学家长的社交圈，传统走亲访友的宗族互动空间被大幅挤压；城市化带来的跨省市人口流动，让“00后”父母与兄弟姐妹分散各地，下一代从小就缺乏与宗族亲戚的亲密接触，亲缘联结本就薄弱；同时，核心家庭的经济独立与社保、医保体系的完善，让家庭不再需要依赖宗族网络获取生存资源，对宗族的情感与现实需求都随之降低；再加上互联网催生的个人化生活方式，年轻人的学习、社交多在线上完成，现实中的宗族交往变得原子化，自然也弱化了基于宗族的学业互动。</w:t>
      </w:r>
    </w:p>
    <w:p w14:paraId="7412C47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4E8E0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尽管如此，由祖辈与父辈同胞构成的同辈宗族亲缘圈，仍可从两个维度对学业竞争发挥促成作用：</w:t>
      </w:r>
    </w:p>
    <w:p w14:paraId="065257F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 社会支持机制</w:t>
      </w:r>
    </w:p>
    <w:p w14:paraId="58D9434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祖辈人数更多，意味着能够为孙辈提供更多的日常照料、情感陪伴与经济支持，这有助于更好地缓解父母的育儿压力，进而在日常生活中为孩童提供更充分的关心与帮扶；同时，借助 “祖辈曝光效应”，宗族内部的人脉联结得以强化，族内孩子的教育资源分配也能得到进一步优化。</w:t>
      </w:r>
    </w:p>
    <w:p w14:paraId="5599ED13">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价值观塑造机制</w:t>
      </w:r>
    </w:p>
    <w:p w14:paraId="12BE802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宗族长辈群体中，不乏已完成个体向上流动、接受过高等教育的成员（如叔公、姑姨等），他们可通过宗族互动向晚辈熏陶 “教育改变命运” 的价值理念，逐步提升晚辈群体的教育期望值与学业竞争意识。</w:t>
      </w:r>
    </w:p>
    <w:p w14:paraId="7478A40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不过，这一影响存在明显的阶层差异：对于较低阶层家庭而言，父母受时间与精力的限制，家庭教育及陪伴的投入强度相对不足，因此宗族亲属网络补充育儿资源的作用更为突出，能够有效削弱这类家庭中 “反学校” 文化的习染力；而高阶层家庭本身已具备充足的资源储备，宗族资源的补充难以使其获得额外的显著增益，甚至可能出现资源过剩的 “天花板效应”</w:t>
      </w:r>
      <w:r>
        <w:rPr>
          <w:rStyle w:val="10"/>
          <w:rFonts w:hint="eastAsia" w:ascii="仿宋_GB2312" w:hAnsi="仿宋_GB2312" w:eastAsia="仿宋_GB2312" w:cs="仿宋_GB2312"/>
          <w:b w:val="0"/>
          <w:bCs w:val="0"/>
          <w:sz w:val="24"/>
          <w:szCs w:val="24"/>
          <w:highlight w:val="none"/>
          <w:lang w:val="en-US" w:eastAsia="zh-CN"/>
        </w:rPr>
        <w:footnoteReference w:id="5"/>
      </w:r>
      <w:r>
        <w:rPr>
          <w:rFonts w:hint="eastAsia" w:ascii="仿宋_GB2312" w:hAnsi="仿宋_GB2312" w:eastAsia="仿宋_GB2312" w:cs="仿宋_GB2312"/>
          <w:b w:val="0"/>
          <w:bCs w:val="0"/>
          <w:sz w:val="24"/>
          <w:szCs w:val="24"/>
          <w:highlight w:val="none"/>
          <w:lang w:val="en-US" w:eastAsia="zh-CN"/>
        </w:rPr>
        <w:t>。</w:t>
      </w:r>
    </w:p>
    <w:p w14:paraId="4AA0F3F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_GB2312" w:hAnsi="仿宋_GB2312" w:eastAsia="仿宋_GB2312" w:cs="仿宋_GB2312"/>
          <w:b w:val="0"/>
          <w:bCs w:val="0"/>
          <w:sz w:val="24"/>
          <w:szCs w:val="24"/>
          <w:highlight w:val="none"/>
          <w:lang w:val="en-US" w:eastAsia="zh-CN"/>
        </w:rPr>
      </w:pPr>
    </w:p>
    <w:p w14:paraId="7DF0343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宗族组织对于学业竞争的发展也起到了推动作用，主要体现在两方面：</w:t>
      </w:r>
    </w:p>
    <w:p w14:paraId="16A7D4D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 学业成就的“光宗耀祖”导向</w:t>
      </w:r>
    </w:p>
    <w:p w14:paraId="1C07A22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在“光宗耀祖”观念的影响下，族人往往将学业有成视作宗族荣耀，这让学业竞争具备了较强的社会影响力。</w:t>
      </w:r>
    </w:p>
    <w:p w14:paraId="6767A2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2. 宗族社会资本的资源支持</w:t>
      </w:r>
    </w:p>
    <w:p w14:paraId="5EFAD4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网络的社会资本互惠，既可以维系宗族稳定、促进社会经济发展，同时也能借助亲情信任关系实现内部互帮互助——解决有求学资金需求的家庭一时难以凑齐学费的资金缺口问题，从而降低此类家庭的信贷约束。</w:t>
      </w:r>
    </w:p>
    <w:p w14:paraId="6134A64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这一作用在南方尤为明显：南方宗族发育程度较高，不仅能较早提升高中入学率，也可促进大学入学率的提高，并逐步增加总教育年数。</w:t>
      </w:r>
    </w:p>
    <w:p w14:paraId="1EAA960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不过，这种支持并非宗族内所有家庭都能平等享有：受传统“延续香火”观念的影响，男性往往能获得更多的求学支持，这使得男性的受教育年限大约多增加1.6年</w:t>
      </w:r>
      <w:r>
        <w:rPr>
          <w:rStyle w:val="10"/>
          <w:rFonts w:hint="eastAsia" w:ascii="仿宋_GB2312" w:hAnsi="仿宋_GB2312" w:eastAsia="仿宋_GB2312" w:cs="仿宋_GB2312"/>
          <w:b w:val="0"/>
          <w:bCs w:val="0"/>
          <w:sz w:val="24"/>
          <w:szCs w:val="24"/>
          <w:highlight w:val="none"/>
          <w:lang w:val="en-US" w:eastAsia="zh-CN"/>
        </w:rPr>
        <w:footnoteReference w:id="6"/>
      </w:r>
      <w:r>
        <w:rPr>
          <w:rFonts w:hint="eastAsia" w:ascii="仿宋_GB2312" w:hAnsi="仿宋_GB2312" w:eastAsia="仿宋_GB2312" w:cs="仿宋_GB2312"/>
          <w:b w:val="0"/>
          <w:bCs w:val="0"/>
          <w:sz w:val="24"/>
          <w:szCs w:val="24"/>
          <w:highlight w:val="none"/>
          <w:lang w:val="en-US" w:eastAsia="zh-CN"/>
        </w:rPr>
        <w:t>，女性所获的支持则相对有限。</w:t>
      </w:r>
    </w:p>
    <w:p w14:paraId="558D192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FB69B1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09D815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五、宗族关系的重构</w:t>
      </w:r>
    </w:p>
    <w:p w14:paraId="5BF9CC8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A20CBF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当代南方地区的宗族关系早已脱离了传统的紧密联结状态，正经历着明显的现代重构。传统家族主义逐渐让位于个体化的生活理念，人们不再将大家族的整体利益置于首位，核心家庭成为主流的生活单元，宗族原本的互助功能也随之弱化——毕竟在社保、医保体系日趋完善的当下，家庭已不必依赖亲戚网络获取生存或发展资源。城市化带来的大规模人口流动更是加剧了这一变化：南方地区跨省市迁移的人口不在少数，“00后”群体的父母与兄弟姐妹往往分散在不同城市，这代年轻人从小就缺乏与亲戚深度接触的机会，血缘纽带的联结自然愈发松弛。更关键的是，在学业竞争愈发激烈的环境里，学缘关系逐渐替代了血缘关系的重要性：青少年的日常交往围绕同学展开，家长也更倾向于构建同学家长的社交圈，走亲访友的空间被学业压力大幅挤压。</w:t>
      </w:r>
    </w:p>
    <w:p w14:paraId="70BB84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997E1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种宗族关系的重构，也让深陷学业竞争的青年群体陷入了特殊的困境。亲戚间的“嘘寒问暖”常常变味成隐性的学业攀比。谁家孩子的分数更高、谁进了更好的学校，成了聚会中绕不开的话题，甚至还有长辈会以“为你好”的名义，对小辈的学习计划或发展选择指手画脚。而正被内卷裹挟的年轻人，本就被学业占满了休闲时间，周末要么补课要么刷题，好不容易有空只想放松，根本没精力维系这种缺乏边界感的亲属互动；一旦反驳这些“关心”，又会被贴上“不懂礼貌”的标签，久而久之便与亲戚形成了沟通屏障，不少人甚至患上了“春节焦虑症”“过节恐惧症”，生怕假期变成一场围绕学业的“审判现场”。</w:t>
      </w:r>
    </w:p>
    <w:p w14:paraId="0CF5FFA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752084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互联网时代的生活方式，进一步放大了这种困境。“00后”年轻人的学习、娱乐、社交多通过网络完成，现实交往愈发个体化、原子化，“走亲戚”这种传统社交对他们而言，既耗时费力又缺乏情绪价值。比起应付亲戚的“查户口式盘问”，和志趣相投的同学、朋友相处显然更能获得舒适感。数据也印证了这一趋势：63%的未成年人不会主动联系亲戚，18至25岁青年中经常与亲戚往来的比例仅为22.79%</w:t>
      </w:r>
      <w:r>
        <w:rPr>
          <w:rStyle w:val="10"/>
          <w:rFonts w:hint="eastAsia" w:ascii="仿宋_GB2312" w:hAnsi="仿宋_GB2312" w:eastAsia="仿宋_GB2312" w:cs="仿宋_GB2312"/>
          <w:b w:val="0"/>
          <w:bCs w:val="0"/>
          <w:sz w:val="24"/>
          <w:szCs w:val="24"/>
          <w:highlight w:val="none"/>
          <w:lang w:val="en-US" w:eastAsia="zh-CN"/>
        </w:rPr>
        <w:footnoteReference w:id="7"/>
      </w:r>
      <w:r>
        <w:rPr>
          <w:rFonts w:hint="eastAsia" w:ascii="仿宋_GB2312" w:hAnsi="仿宋_GB2312" w:eastAsia="仿宋_GB2312" w:cs="仿宋_GB2312"/>
          <w:b w:val="0"/>
          <w:bCs w:val="0"/>
          <w:sz w:val="24"/>
          <w:szCs w:val="24"/>
          <w:highlight w:val="none"/>
          <w:lang w:val="en-US" w:eastAsia="zh-CN"/>
        </w:rPr>
        <w:t>。但即便亲缘关系已然淡化，学业竞争仍是亲戚聚会中无法回避的话题，这种“断而未绝”的宗族关系，最终成了许多年轻人额外的精神负担。</w:t>
      </w:r>
    </w:p>
    <w:p w14:paraId="198D907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drawing>
          <wp:inline distT="0" distB="0" distL="114300" distR="114300">
            <wp:extent cx="5271135" cy="2157730"/>
            <wp:effectExtent l="0" t="0" r="12065" b="1270"/>
            <wp:docPr id="1" name="图片 1" descr="“断亲”现象的具体调查比例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断亲”现象的具体调查比例数据"/>
                    <pic:cNvPicPr>
                      <a:picLocks noChangeAspect="1"/>
                    </pic:cNvPicPr>
                  </pic:nvPicPr>
                  <pic:blipFill>
                    <a:blip r:embed="rId7"/>
                    <a:stretch>
                      <a:fillRect/>
                    </a:stretch>
                  </pic:blipFill>
                  <pic:spPr>
                    <a:xfrm>
                      <a:off x="0" y="0"/>
                      <a:ext cx="5271135" cy="2157730"/>
                    </a:xfrm>
                    <a:prstGeom prst="rect">
                      <a:avLst/>
                    </a:prstGeom>
                  </pic:spPr>
                </pic:pic>
              </a:graphicData>
            </a:graphic>
          </wp:inline>
        </w:drawing>
      </w:r>
    </w:p>
    <w:p w14:paraId="2E3803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图1  “断亲”现象的具体调查比例数据</w:t>
      </w:r>
    </w:p>
    <w:p w14:paraId="653345C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来源《青年“断亲”：何以发生？何去何从？》，胡小武，南京大学</w:t>
      </w:r>
    </w:p>
    <w:p w14:paraId="1334971A">
      <w:pPr>
        <w:rPr>
          <w:rFonts w:hint="eastAsia" w:asciiTheme="majorEastAsia" w:hAnsiTheme="majorEastAsia" w:eastAsiaTheme="majorEastAsia" w:cstheme="majorEastAsia"/>
          <w:b/>
          <w:bCs/>
          <w:sz w:val="24"/>
          <w:szCs w:val="24"/>
          <w:highlight w:val="none"/>
          <w:lang w:val="en-US" w:eastAsia="zh-CN"/>
        </w:rPr>
      </w:pPr>
    </w:p>
    <w:p w14:paraId="4CDCB1A6">
      <w:pPr>
        <w:rPr>
          <w:rFonts w:hint="eastAsia" w:asciiTheme="majorEastAsia" w:hAnsiTheme="majorEastAsia" w:eastAsiaTheme="majorEastAsia" w:cstheme="majorEastAsia"/>
          <w:b/>
          <w:bCs/>
          <w:sz w:val="24"/>
          <w:szCs w:val="24"/>
          <w:highlight w:val="none"/>
          <w:lang w:val="en-US" w:eastAsia="zh-CN"/>
        </w:rPr>
      </w:pPr>
    </w:p>
    <w:p w14:paraId="037AA7D9">
      <w:pPr>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六、结论与思考</w:t>
      </w:r>
    </w:p>
    <w:p w14:paraId="2239BC5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EE770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当代南方地区的宗族关系，早已跳脱传统农业社会里紧密的资源互助框架，但“崇儒重教”的历史惯性，让学业成了当下宗族互动最显性的纽带。</w:t>
      </w:r>
    </w:p>
    <w:p w14:paraId="5F2AAAF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F96F9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过去宗族集中资源供子弟科举、维系“教育－宗族”良性循环的传统，如今转化成了亲属间暗自比对成绩、争抢教育优势的日常竞争。哪怕城市化让亲缘往来淡了不少，只要宗族成员聚在一起，谁家孩子的升学进度、分数排名，还是会不自觉地成了话题中心，甚至带着“光宗耀祖”的旧滤镜，把个体学业成败和宗族脸面悄然绑定。</w:t>
      </w:r>
    </w:p>
    <w:p w14:paraId="7E772EE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224CD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种宗族学业竞争里，还可以看见传统社会中“资源倾斜”的迹象。和过去偏向男性子弟的做法类似，如今不少南方宗族的学业支持（比如宗族奖学资金），仍更倾向于“能撑门面”的晚辈，隐性的性别偏向虽不似从前极端，却也没完全消失。而对当下的青年群体来说，这层竞争远不只是亲戚闲聊的压力。学业本就被内卷填满的他们，宗族里的攀比成了额外的精神负担，不少人干脆选择疏远亲属，“断亲”现象的背后，其实藏着对这种无边界学业竞争的主动逃离。</w:t>
      </w:r>
    </w:p>
    <w:p w14:paraId="45F3BCE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3B8D1B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有意思的是，这种宗族学业竞争从来不是单纯的“亲戚闲事”。放到当下的教育环境里看，普高升学率仅六成、本科录取率不足四成的现实，放大了家庭的教育焦虑，而宗族的血缘纽带刚好成了这种焦虑的出口。用社会学的视角拆解会发现：看似是某家孩子“不如人”的私人焦虑，实则是有限升学通道与宗族声望绑定的社会结构问题。哪怕没有宗族，教育焦虑也会找其他载体，但宗族让这种竞争裹上了“亲情”的外衣，更难被回避。</w:t>
      </w:r>
    </w:p>
    <w:p w14:paraId="709D8B0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300AA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笔者由此引发了更多的思考：传统宗族的资源互助功能，能不能从“攀比谁更好”转回“帮着一起好”？比如部分宗族的奖学基金，若能从只奖励尖子生转向覆盖更多普通家庭的教育帮扶，或许能让“以教兴族”的传统服务于当代的扩展家庭。不过至少目前，多数南方宗族的学业互动，还没跳出竞争的固有圈子。</w:t>
      </w:r>
    </w:p>
    <w:p w14:paraId="09CE09D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br w:type="page"/>
      </w:r>
    </w:p>
    <w:p w14:paraId="3606CA0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_GB2312" w:hAnsi="仿宋_GB2312" w:eastAsia="仿宋_GB2312" w:cs="仿宋_GB2312"/>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七、致谢</w:t>
      </w:r>
    </w:p>
    <w:p w14:paraId="3B317BC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7FCFC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乡土，在文学家的笔下，是“天淡云闲今古同”“人歌人哭水声中”；在小说家的笔下，是“如同树木的荣枯，既系于自身的根基，也受制于周围的风风雨雨”；在社会学家的笔下，是形如“把一块石头丢在水面上所发生的一圈圈推出去的波纹”的差序格局。有人或许认为，以上理论皆是“昨天的故事”，不适用于当代中国社会。进入21世纪，政治经济的转型推动人口流动、城市化发展与治理现代化，传统的社会结构、权力分配、道德法礼几乎是土崩瓦解，乡土社会和宗族社会在中国南方各大城市逐渐难觅踪迹。但我们可以看到，“宗族关系”仍然存在，无时无刻不在影响着人们的心理、行为乃至对社会的认知。</w:t>
      </w:r>
    </w:p>
    <w:p w14:paraId="074E3FF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397EF7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赖特・米尔斯在《社会学的想象力》一书中提到：“要把握人与社会，人生与历史自我与世界之间的相互作用，必须有特定的心智品质，这种心智品质称之为社会学的想象力。”他作为一名社会学家，生活在自己的生活历程之中，而这个历程又存在于某个历史序列之中。因为“他正在生活”这一事实，他就会对社会的发展和历史的演进作出贡献，无论这贡献多么微不足道，甚至连他自己也是在社会和历史的推进作用下塑造出来的。</w:t>
      </w:r>
    </w:p>
    <w:p w14:paraId="2A2FED8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D6978D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出生在当代南方地区的乡土社会，生活在“宗族关系时刻影响社会关系”的生活历程之中，而这个历程又存在于“科教兴国”“人才强国”的历史序列之中。但社会的主流宣传和社会成员的个体心理毕竟是有区别的，我能感受到当代宗族关系中那种微妙的“利益纠葛”甚至是“利益冲突”。我认为自己有必要反思祖辈父辈带给当代年轻人的“宗族关系”，为什么近几年来，部分高知家庭，为了孩子的学业，会在其很小的时候，就迁户口到大城市或者移民他国？为什么年轻人在考上大学后，很少考虑结婚生子、组建家庭，甚至有人会义正词严地宣布“断亲”，即远离宗族关系、拒绝亲戚走访。“教育资源”“学业压力”的影响人尽皆知，但宗族关系中的学业竞争带来的利益纠葛也不容忽视！</w:t>
      </w:r>
    </w:p>
    <w:p w14:paraId="62F34BE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54FB2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个人感觉，跟亲戚打交道，既不轻松也不划算。我要花时间准备，还要费心想吉祥话、买礼物、包红包；但收获的幸福感却很少，聊天内容全是“查户口”式的追问。而且，同辈之间还会有隐形攀比，在这方面，我有很深刻的感受！整个义务教育阶段，我的同学和他们的家长，跟我有太多的“利益纠葛”，我早就想骂了！某些别有用心之人，真就是肆无忌惮地搞“学术垄断”，想方设法地给身边人“使坏”。我目前没有能力搞“学术垄断”，也不愿搞，我践行的是“信息平权，学术自由”。你能想象吗？我整个小学初中，在“关系”这个层面，就比不过别人。我的同乡陈大为（化名），他爸爸的辈分，比我还小一辈。每次考完试，那个家长都拿着大表格，到处查别人家孩子的成绩。他还特别喜欢在我妈妈面前感慨、阴阳。有次还直接把我的全科成绩截屏，发给我妈妈。</w:t>
      </w:r>
    </w:p>
    <w:p w14:paraId="69E5CE1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39764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好吧，这确实是一段有趣有价值的人生阅历，给我的论文写作带来了独特的私人化语言，至于灵感和想法，那更是很珍贵的！</w:t>
      </w:r>
    </w:p>
    <w:p w14:paraId="32C3ED7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927CF8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吴帆老师的课程轻松有趣，带给我了很多的想法和忠告！“社会学概论”的课程短暂却很充实，帆老师亲切随和，很有人格魅力，不少同学表示“他上课老有意思了”。帆老师每次上课，我都坐在前几排。快要结课时，他点了一次名。点到我时，他说：“帅，很帅啊！”，当时我有了“社会性死亡”的感觉。但现在想起来，确实很有意思。</w:t>
      </w:r>
    </w:p>
    <w:p w14:paraId="2FD0996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886750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还要感谢本院的宛晨曦学姐，她给予了我很多灵感和想法！一个偶然的机会，我把自己在Overleaf平台上编写的LaTeX源码内容发给她看，她指出“细看会有很多社会学的内容”“可以当社会学作业了”。我当时灵感如泉涌，汩汩而出！</w:t>
      </w:r>
    </w:p>
    <w:p w14:paraId="62164BD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709FE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还要感谢本院吴淼老师提供的书单，他推荐了赖特・米尔斯的《社会学的想象力》。我粗略地读了读，起初感觉理论很深奥很思辨，现在估计只记住了一些高频的理论词汇和有趣的案例分析。直到乙巳年初回九江走亲戚，听长辈们聊“谁家孩子考上好大学，族里面上有光”时，我才忽然体会到了米尔斯说的“社会学想象力”的内核。他在书里反复戳破“私人麻烦”的幻象：你以为是“自家孩子不如人”的焦虑，其实是“社会结构嵌在个人生活里的褶皱”。</w:t>
      </w:r>
    </w:p>
    <w:p w14:paraId="078D27D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8DE6A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若一座 10 万人口的城市里只有 1 个人失业，人们会把原因归为 “这个人不够努力、技能差”（这是个人困扰）；但如果是5000 万就业人口里有 1500 万人失业（比如大萧条时期），这就不再是个人问题，而是 “经济制度崩溃、社会机会结构坍塌” 的公共议题—— 再努力的人也敌不过时代的结构约束。你看到的 “同乡家长晒成绩、宗族里比孩子升学” 是个人困扰（家长的焦虑），但背后是 “普高升学率有限、宗族声望与教育绑定” 的公共议题。这正是米尔斯 “社会学的想象力” 要做的 “由个人及社会” 的联结！</w:t>
      </w:r>
    </w:p>
    <w:p w14:paraId="714CC6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F64560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学业竞争”必然会导致不少人心里“拧巴”，尤其是年轻人受不了家族中的“利益纠葛”“指指点点”，由此造成的“断亲”现象也就不足为奇了。但对于年轻人来说，可能最不需要的就是这些亲戚的理解了。毕竟都切断联系了，亲戚怎么想、怎么说自己，也不用知道了。至于亲情的空缺，不用担心，很多年轻人已经在自己的世界里找到了“新的家人”来填补。和谁产生了共鸣，谁能提供情绪价值，谁就是家人。</w:t>
      </w:r>
    </w:p>
    <w:p w14:paraId="64E344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2F885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有一个不成熟的想法！随着生育率的持续走低，全球化和现代化的深入发展，当代南方地区乃至当代中国的“宗族社群”必然会缩减，“宗族社群”的话事人和组织者将会是人口占比较少的“新生代”。“新生代”们，会选择跟自己有“情感共鸣”“生活互助”“事业合作”而非“利益纠葛”的人组建家庭，发展宗族。而且“新生代”的宗族，不一定是同姓，也不一定同国籍，更不一定同种族。新生代的宗族，很有可能会发展成广义的跨国家族形式，业缘关系远大于血缘关系。</w:t>
      </w:r>
    </w:p>
    <w:p w14:paraId="4A5845E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692B6F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任何时代、任何地域、任何行业、任何社群都有竞争，至于是不是“宗族关系”，那将无足轻重了。</w:t>
      </w:r>
    </w:p>
    <w:p w14:paraId="392C7ABB">
      <w:pPr>
        <w:rPr>
          <w:rFonts w:hint="eastAsia" w:asciiTheme="majorEastAsia" w:hAnsiTheme="majorEastAsia" w:eastAsiaTheme="majorEastAsia" w:cstheme="majorEastAsia"/>
          <w:b/>
          <w:bCs/>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br w:type="page"/>
      </w:r>
    </w:p>
    <w:p w14:paraId="3B386CF8">
      <w:pPr>
        <w:rPr>
          <w:rFonts w:hint="eastAsia" w:asciiTheme="majorEastAsia" w:hAnsiTheme="majorEastAsia" w:eastAsiaTheme="majorEastAsia" w:cstheme="majorEastAsia"/>
          <w:b w:val="0"/>
          <w:bCs w:val="0"/>
          <w:sz w:val="24"/>
          <w:szCs w:val="24"/>
          <w:highlight w:val="none"/>
          <w:lang w:val="en-US" w:eastAsia="zh-CN"/>
        </w:rPr>
      </w:pPr>
      <w:bookmarkStart w:id="0" w:name="_GoBack"/>
      <w:bookmarkEnd w:id="0"/>
      <w:r>
        <w:rPr>
          <w:rFonts w:hint="eastAsia" w:asciiTheme="majorEastAsia" w:hAnsiTheme="majorEastAsia" w:eastAsiaTheme="majorEastAsia" w:cstheme="majorEastAsia"/>
          <w:b/>
          <w:bCs/>
          <w:sz w:val="24"/>
          <w:szCs w:val="24"/>
          <w:highlight w:val="none"/>
          <w:lang w:val="en-US" w:eastAsia="zh-CN"/>
        </w:rPr>
        <w:t>参考文献：</w:t>
      </w:r>
    </w:p>
    <w:p w14:paraId="2F9D1DF6">
      <w:pPr>
        <w:numPr>
          <w:ilvl w:val="0"/>
          <w:numId w:val="0"/>
        </w:numPr>
        <w:rPr>
          <w:rFonts w:hint="eastAsia" w:ascii="仿宋_GB2312" w:hAnsi="仿宋_GB2312" w:eastAsia="仿宋_GB2312" w:cs="仿宋_GB2312"/>
          <w:b w:val="0"/>
          <w:bCs w:val="0"/>
          <w:sz w:val="24"/>
          <w:szCs w:val="24"/>
          <w:highlight w:val="none"/>
          <w:lang w:val="en-US" w:eastAsia="zh-CN"/>
        </w:rPr>
      </w:pPr>
    </w:p>
    <w:p w14:paraId="4574E081">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[1] 胡小武, 韩天泽. 青年“断亲”：何以发生？何去何从？[J]. 中国青年研究, 2022(5): 103-108.</w:t>
      </w:r>
    </w:p>
    <w:p w14:paraId="30316EE3">
      <w:pPr>
        <w:numPr>
          <w:ilvl w:val="0"/>
          <w:numId w:val="0"/>
        </w:numPr>
        <w:rPr>
          <w:rFonts w:hint="default" w:ascii="Times New Roman" w:hAnsi="Times New Roman" w:eastAsia="仿宋_GB2312" w:cs="Times New Roman"/>
          <w:b w:val="0"/>
          <w:bCs w:val="0"/>
          <w:sz w:val="24"/>
          <w:szCs w:val="24"/>
          <w:highlight w:val="none"/>
          <w:lang w:val="en-US" w:eastAsia="zh-CN"/>
        </w:rPr>
      </w:pPr>
    </w:p>
    <w:p w14:paraId="1ED21E6F">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[2] 张骞. 亲属网络视角下的儿童学业成就：影响机制与阶层差异[J]. 社会学研究, 2025, 40(2): 153-178.</w:t>
      </w:r>
    </w:p>
    <w:p w14:paraId="32AA626C">
      <w:pPr>
        <w:numPr>
          <w:ilvl w:val="0"/>
          <w:numId w:val="0"/>
        </w:numPr>
        <w:rPr>
          <w:rFonts w:hint="default" w:ascii="Times New Roman" w:hAnsi="Times New Roman" w:eastAsia="仿宋_GB2312" w:cs="Times New Roman"/>
          <w:b w:val="0"/>
          <w:bCs w:val="0"/>
          <w:sz w:val="24"/>
          <w:szCs w:val="24"/>
          <w:highlight w:val="none"/>
          <w:lang w:val="en-US" w:eastAsia="zh-CN"/>
        </w:rPr>
      </w:pPr>
    </w:p>
    <w:p w14:paraId="6D57C9EE">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[3] 丁从明, 邵敏敏, 梁甄桥. 宗族对农村人力资本投资的影响分析[J]. 中国农村经济, 2018(2): 103-115.</w:t>
      </w:r>
    </w:p>
    <w:p w14:paraId="7BD8EA84">
      <w:pPr>
        <w:numPr>
          <w:ilvl w:val="0"/>
          <w:numId w:val="0"/>
        </w:numPr>
        <w:rPr>
          <w:rFonts w:hint="default" w:ascii="Times New Roman" w:hAnsi="Times New Roman" w:eastAsia="仿宋_GB2312" w:cs="Times New Roman"/>
          <w:b w:val="0"/>
          <w:bCs w:val="0"/>
          <w:sz w:val="24"/>
          <w:szCs w:val="24"/>
          <w:highlight w:val="none"/>
          <w:lang w:val="en-US" w:eastAsia="zh-CN"/>
        </w:rPr>
      </w:pPr>
    </w:p>
    <w:p w14:paraId="77EE530D">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[4] 梁若冰, 任伟聪. 宗族组织、信贷约束与农村人力资本积累——基于“大学扩招”的实证研究[J]. 经济科学, 2023(2): 96-110.</w:t>
      </w:r>
    </w:p>
    <w:p w14:paraId="55240B82">
      <w:pPr>
        <w:numPr>
          <w:ilvl w:val="0"/>
          <w:numId w:val="0"/>
        </w:numPr>
        <w:rPr>
          <w:rFonts w:hint="default" w:ascii="Times New Roman" w:hAnsi="Times New Roman" w:eastAsia="仿宋_GB2312" w:cs="Times New Roman"/>
          <w:b w:val="0"/>
          <w:bCs w:val="0"/>
          <w:sz w:val="24"/>
          <w:szCs w:val="24"/>
          <w:highlight w:val="none"/>
          <w:lang w:val="en-US" w:eastAsia="zh-CN"/>
        </w:rPr>
      </w:pPr>
    </w:p>
    <w:p w14:paraId="6E6F5064">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[5] 赵忠, 侯风云. 中国农村子女教育同胞竞争效应研究[J]. 经济研究, 2013, 48(6): 126-139.</w:t>
      </w:r>
    </w:p>
    <w:p w14:paraId="6BEF6B1A">
      <w:pPr>
        <w:numPr>
          <w:ilvl w:val="0"/>
          <w:numId w:val="0"/>
        </w:numPr>
        <w:rPr>
          <w:rFonts w:hint="default" w:ascii="Times New Roman" w:hAnsi="Times New Roman" w:eastAsia="仿宋_GB2312" w:cs="Times New Roman"/>
          <w:b w:val="0"/>
          <w:bCs w:val="0"/>
          <w:sz w:val="24"/>
          <w:szCs w:val="24"/>
          <w:highlight w:val="none"/>
          <w:lang w:val="en-US" w:eastAsia="zh-CN"/>
        </w:rPr>
      </w:pPr>
    </w:p>
    <w:p w14:paraId="332BF9E8">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[6] 江小角. 清代徽州宗族对人才培养的重视及其影响[J]. 安徽史学, 2013(5): 103-107.</w:t>
      </w:r>
    </w:p>
    <w:p w14:paraId="6F0B32F0">
      <w:pPr>
        <w:numPr>
          <w:ilvl w:val="0"/>
          <w:numId w:val="0"/>
        </w:numPr>
        <w:rPr>
          <w:rFonts w:hint="default" w:ascii="Times New Roman" w:hAnsi="Times New Roman" w:eastAsia="仿宋_GB2312" w:cs="Times New Roman"/>
          <w:b w:val="0"/>
          <w:bCs w:val="0"/>
          <w:sz w:val="24"/>
          <w:szCs w:val="24"/>
          <w:highlight w:val="none"/>
          <w:lang w:val="en-US" w:eastAsia="zh-CN"/>
        </w:rPr>
      </w:pPr>
    </w:p>
    <w:p w14:paraId="6730400B">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[7] 陈友华, 宗昊. “断亲”概念、问题及思考[J]. 扬州大学学报(人文社会科学版), 2023, 27(3): 11-18.</w:t>
      </w:r>
    </w:p>
    <w:p w14:paraId="4E5D1069">
      <w:pPr>
        <w:numPr>
          <w:ilvl w:val="0"/>
          <w:numId w:val="0"/>
        </w:numPr>
        <w:rPr>
          <w:rFonts w:hint="default" w:ascii="Times New Roman" w:hAnsi="Times New Roman" w:eastAsia="仿宋_GB2312" w:cs="Times New Roman"/>
          <w:b w:val="0"/>
          <w:bCs w:val="0"/>
          <w:sz w:val="24"/>
          <w:szCs w:val="24"/>
          <w:highlight w:val="none"/>
          <w:lang w:val="en-US" w:eastAsia="zh-CN"/>
        </w:rPr>
      </w:pPr>
    </w:p>
    <w:p w14:paraId="57D35A47">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[8] 陈永侠. 唯物史观视域下的家庭现代性危机研究[D]. 南宁: 广西师范学院, 2016.</w:t>
      </w:r>
    </w:p>
    <w:p w14:paraId="4D1C24FC">
      <w:pPr>
        <w:numPr>
          <w:ilvl w:val="0"/>
          <w:numId w:val="0"/>
        </w:numPr>
        <w:rPr>
          <w:rFonts w:hint="default" w:ascii="Times New Roman" w:hAnsi="Times New Roman" w:eastAsia="仿宋_GB2312" w:cs="Times New Roman"/>
          <w:b w:val="0"/>
          <w:bCs w:val="0"/>
          <w:sz w:val="24"/>
          <w:szCs w:val="24"/>
          <w:highlight w:val="none"/>
          <w:lang w:val="en-US" w:eastAsia="zh-CN"/>
        </w:rPr>
      </w:pPr>
    </w:p>
    <w:p w14:paraId="31A22B5E">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[9] 刘红梅. 唯物史观视域中的中西方家庭文化对比研究[D]. 上海: 上海财经大学, 2020.</w:t>
      </w:r>
    </w:p>
    <w:p w14:paraId="4D485D27">
      <w:pPr>
        <w:numPr>
          <w:ilvl w:val="0"/>
          <w:numId w:val="0"/>
        </w:numPr>
        <w:rPr>
          <w:rFonts w:hint="default" w:ascii="Times New Roman" w:hAnsi="Times New Roman" w:eastAsia="仿宋_GB2312" w:cs="Times New Roman"/>
          <w:b w:val="0"/>
          <w:bCs w:val="0"/>
          <w:sz w:val="24"/>
          <w:szCs w:val="24"/>
          <w:highlight w:val="none"/>
          <w:lang w:val="en-US" w:eastAsia="zh-CN"/>
        </w:rPr>
      </w:pPr>
    </w:p>
    <w:p w14:paraId="5519A198">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[10] Zhou, X., &amp; Kim, S. S. (2020). Sibling relationship qualities and peer and academic adjustment: A multi-informant longitudinal study of Chinese families[J]. Journal of Family Psychology, 34(1), 11-22.</w:t>
      </w:r>
    </w:p>
    <w:p w14:paraId="391BE086">
      <w:pPr>
        <w:numPr>
          <w:ilvl w:val="0"/>
          <w:numId w:val="0"/>
        </w:numPr>
        <w:rPr>
          <w:rFonts w:hint="default" w:ascii="Times New Roman" w:hAnsi="Times New Roman" w:eastAsia="仿宋_GB2312" w:cs="Times New Roman"/>
          <w:b w:val="0"/>
          <w:bCs w:val="0"/>
          <w:sz w:val="24"/>
          <w:szCs w:val="24"/>
          <w:highlight w:val="none"/>
          <w:lang w:val="en-US" w:eastAsia="zh-CN"/>
        </w:rPr>
      </w:pPr>
    </w:p>
    <w:p w14:paraId="35E592D8">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[11] Han, W. J., Whetung, T., &amp; Mao, X. (2021). Living with grandparents: Multi-generational families and the academic performance of grandchildren in China[J]. Journal of Family Studies, 27(2), 201-218.</w:t>
      </w:r>
    </w:p>
    <w:p w14:paraId="30D84881">
      <w:pPr>
        <w:numPr>
          <w:ilvl w:val="0"/>
          <w:numId w:val="0"/>
        </w:numPr>
        <w:rPr>
          <w:rFonts w:hint="default" w:ascii="Times New Roman" w:hAnsi="Times New Roman" w:eastAsia="仿宋_GB2312" w:cs="Times New Roman"/>
          <w:b w:val="0"/>
          <w:bCs w:val="0"/>
          <w:sz w:val="24"/>
          <w:szCs w:val="24"/>
          <w:highlight w:val="none"/>
          <w:lang w:val="en-US" w:eastAsia="zh-CN"/>
        </w:rPr>
      </w:pPr>
    </w:p>
    <w:p w14:paraId="05D65B5C">
      <w:pPr>
        <w:numPr>
          <w:ilvl w:val="0"/>
          <w:numId w:val="0"/>
        </w:numPr>
        <w:rPr>
          <w:rFonts w:hint="eastAsia" w:ascii="仿宋_GB2312" w:hAnsi="仿宋_GB2312" w:eastAsia="仿宋_GB2312" w:cs="仿宋_GB2312"/>
          <w:b w:val="0"/>
          <w:bCs w:val="0"/>
          <w:sz w:val="24"/>
          <w:szCs w:val="24"/>
          <w:highlight w:val="none"/>
          <w:lang w:val="en-US" w:eastAsia="zh-CN"/>
        </w:rPr>
      </w:pPr>
    </w:p>
    <w:p w14:paraId="6EBBE364">
      <w:pPr>
        <w:jc w:val="both"/>
        <w:rPr>
          <w:rFonts w:hint="default" w:ascii="黑体" w:hAnsi="黑体" w:eastAsia="黑体"/>
          <w:b/>
          <w:sz w:val="28"/>
          <w:szCs w:val="28"/>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925A9D4-EFE4-4270-9DB7-792C2E0DEA8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panose1 w:val="02000000000000000000"/>
    <w:charset w:val="86"/>
    <w:family w:val="auto"/>
    <w:pitch w:val="default"/>
    <w:sig w:usb0="A00002BF" w:usb1="38CF7CFA" w:usb2="00082016" w:usb3="00000000" w:csb0="00040001" w:csb1="00000000"/>
    <w:embedRegular r:id="rId2" w:fontKey="{FED1D261-AF7E-4D79-946E-C754620CB143}"/>
  </w:font>
  <w:font w:name="仿宋_GB2312">
    <w:panose1 w:val="02010609030101010101"/>
    <w:charset w:val="86"/>
    <w:family w:val="auto"/>
    <w:pitch w:val="default"/>
    <w:sig w:usb0="00000001" w:usb1="080E0000" w:usb2="00000000" w:usb3="00000000" w:csb0="00040000" w:csb1="00000000"/>
    <w:embedRegular r:id="rId3" w:fontKey="{09E638C9-3506-4409-85A2-B5238EDFC41B}"/>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r>
        <w:separator/>
      </w:r>
    </w:p>
  </w:footnote>
  <w:footnote w:type="continuationSeparator" w:id="17">
    <w:p>
      <w:r>
        <w:continuationSeparator/>
      </w:r>
    </w:p>
  </w:footnote>
  <w:footnote w:id="0">
    <w:p w14:paraId="64436BBB">
      <w:pPr>
        <w:pStyle w:val="3"/>
        <w:snapToGrid w:val="0"/>
        <w:rPr>
          <w:rFonts w:hint="default"/>
        </w:rPr>
      </w:pPr>
      <w:r>
        <w:rPr>
          <w:rStyle w:val="10"/>
        </w:rPr>
        <w:footnoteRef/>
      </w:r>
      <w:r>
        <w:t xml:space="preserve"> </w:t>
      </w:r>
      <w:r>
        <w:rPr>
          <w:rFonts w:hint="default"/>
          <w:lang w:val="en-US" w:eastAsia="zh-CN"/>
        </w:rPr>
        <w:t>数据来源于中华人民共和国教育部官网</w:t>
      </w:r>
    </w:p>
    <w:p w14:paraId="38C73298">
      <w:pPr>
        <w:pStyle w:val="3"/>
        <w:snapToGrid w:val="0"/>
        <w:rPr>
          <w:rFonts w:hint="default"/>
        </w:rPr>
      </w:pPr>
      <w:r>
        <w:rPr>
          <w:rFonts w:hint="default"/>
          <w:lang w:val="en-US" w:eastAsia="zh-CN"/>
        </w:rPr>
        <w:t>- 2024 年全国普通高中招生</w:t>
      </w:r>
      <w:r>
        <w:rPr>
          <w:rFonts w:hint="default"/>
          <w:b/>
          <w:bCs/>
          <w:lang w:val="en-US" w:eastAsia="zh-CN"/>
        </w:rPr>
        <w:t>1036.20</w:t>
      </w:r>
      <w:r>
        <w:rPr>
          <w:rFonts w:hint="default"/>
          <w:lang w:val="en-US" w:eastAsia="zh-CN"/>
        </w:rPr>
        <w:t xml:space="preserve"> 万人</w:t>
      </w:r>
    </w:p>
    <w:p w14:paraId="5D9504FB">
      <w:pPr>
        <w:pStyle w:val="3"/>
        <w:snapToGrid w:val="0"/>
        <w:rPr>
          <w:rFonts w:hint="default"/>
        </w:rPr>
      </w:pPr>
      <w:r>
        <w:rPr>
          <w:rFonts w:hint="default"/>
          <w:lang w:val="en-US" w:eastAsia="zh-CN"/>
        </w:rPr>
        <w:t>- 2024 年全国初中毕业生</w:t>
      </w:r>
      <w:r>
        <w:rPr>
          <w:rFonts w:hint="default"/>
          <w:b/>
          <w:bCs/>
          <w:lang w:val="en-US" w:eastAsia="zh-CN"/>
        </w:rPr>
        <w:t>1698.24</w:t>
      </w:r>
      <w:r>
        <w:rPr>
          <w:rFonts w:hint="default"/>
          <w:lang w:val="en-US" w:eastAsia="zh-CN"/>
        </w:rPr>
        <w:t xml:space="preserve"> 万人</w:t>
      </w:r>
    </w:p>
    <w:p w14:paraId="3B12AE69">
      <w:pPr>
        <w:pStyle w:val="3"/>
        <w:snapToGrid w:val="0"/>
        <w:rPr>
          <w:rFonts w:hint="default"/>
        </w:rPr>
      </w:pPr>
      <w:r>
        <w:rPr>
          <w:rFonts w:hint="default"/>
          <w:lang w:val="en-US" w:eastAsia="zh-CN"/>
        </w:rPr>
        <w:t>- 普高升学率：1036.20÷1698.24×100%＝</w:t>
      </w:r>
      <w:r>
        <w:rPr>
          <w:rFonts w:hint="default"/>
          <w:b/>
          <w:bCs/>
          <w:lang w:val="en-US" w:eastAsia="zh-CN"/>
        </w:rPr>
        <w:t>61.02%</w:t>
      </w:r>
    </w:p>
    <w:p w14:paraId="1DC5F522">
      <w:pPr>
        <w:pStyle w:val="3"/>
        <w:snapToGrid w:val="0"/>
      </w:pPr>
    </w:p>
  </w:footnote>
  <w:footnote w:id="1">
    <w:p w14:paraId="5D9BA54F">
      <w:pPr>
        <w:pStyle w:val="3"/>
        <w:snapToGrid w:val="0"/>
        <w:rPr>
          <w:rFonts w:hint="default"/>
        </w:rPr>
      </w:pPr>
      <w:r>
        <w:rPr>
          <w:rStyle w:val="10"/>
        </w:rPr>
        <w:footnoteRef/>
      </w:r>
      <w:r>
        <w:t xml:space="preserve"> </w:t>
      </w:r>
      <w:r>
        <w:rPr>
          <w:rFonts w:hint="default"/>
          <w:lang w:val="en-US" w:eastAsia="zh-CN"/>
        </w:rPr>
        <w:t>数据来源于中华人民共和国教育部官网</w:t>
      </w:r>
    </w:p>
    <w:p w14:paraId="6693CF91">
      <w:pPr>
        <w:pStyle w:val="3"/>
        <w:snapToGrid w:val="0"/>
        <w:rPr>
          <w:rFonts w:hint="default"/>
        </w:rPr>
      </w:pPr>
      <w:r>
        <w:rPr>
          <w:rFonts w:hint="default"/>
          <w:lang w:val="en-US" w:eastAsia="zh-CN"/>
        </w:rPr>
        <w:t>- 2024 年全国普通本科招生</w:t>
      </w:r>
      <w:r>
        <w:rPr>
          <w:rFonts w:hint="default"/>
          <w:b/>
          <w:bCs/>
          <w:lang w:val="en-US" w:eastAsia="zh-CN"/>
        </w:rPr>
        <w:t>489.97</w:t>
      </w:r>
      <w:r>
        <w:rPr>
          <w:rFonts w:hint="default"/>
          <w:lang w:val="en-US" w:eastAsia="zh-CN"/>
        </w:rPr>
        <w:t xml:space="preserve"> 万人</w:t>
      </w:r>
    </w:p>
    <w:p w14:paraId="6A6EF0CF">
      <w:pPr>
        <w:pStyle w:val="3"/>
        <w:snapToGrid w:val="0"/>
        <w:rPr>
          <w:rFonts w:hint="default"/>
        </w:rPr>
      </w:pPr>
      <w:r>
        <w:rPr>
          <w:rFonts w:hint="default"/>
          <w:lang w:val="en-US" w:eastAsia="zh-CN"/>
        </w:rPr>
        <w:t>- 2024 年全国高考报名人数</w:t>
      </w:r>
      <w:r>
        <w:rPr>
          <w:rFonts w:hint="default"/>
          <w:b/>
          <w:bCs/>
          <w:lang w:val="en-US" w:eastAsia="zh-CN"/>
        </w:rPr>
        <w:t>1342</w:t>
      </w:r>
      <w:r>
        <w:rPr>
          <w:rFonts w:hint="default"/>
          <w:lang w:val="en-US" w:eastAsia="zh-CN"/>
        </w:rPr>
        <w:t xml:space="preserve"> 万人</w:t>
      </w:r>
    </w:p>
    <w:p w14:paraId="43613F7E">
      <w:pPr>
        <w:pStyle w:val="3"/>
        <w:snapToGrid w:val="0"/>
        <w:rPr>
          <w:rFonts w:hint="default"/>
        </w:rPr>
      </w:pPr>
      <w:r>
        <w:rPr>
          <w:rFonts w:hint="default"/>
          <w:lang w:val="en-US" w:eastAsia="zh-CN"/>
        </w:rPr>
        <w:t xml:space="preserve">- </w:t>
      </w:r>
      <w:r>
        <w:rPr>
          <w:rFonts w:hint="eastAsia"/>
          <w:lang w:val="en-US" w:eastAsia="zh-CN"/>
        </w:rPr>
        <w:t>本科升学率</w:t>
      </w:r>
      <w:r>
        <w:rPr>
          <w:rFonts w:hint="default"/>
          <w:lang w:val="en-US" w:eastAsia="zh-CN"/>
        </w:rPr>
        <w:t>：489.97÷1342×100%＝</w:t>
      </w:r>
      <w:r>
        <w:rPr>
          <w:rFonts w:hint="default"/>
          <w:b/>
          <w:bCs/>
          <w:lang w:val="en-US" w:eastAsia="zh-CN"/>
        </w:rPr>
        <w:t>36.51%</w:t>
      </w:r>
    </w:p>
    <w:p w14:paraId="52F99E65">
      <w:pPr>
        <w:pStyle w:val="3"/>
        <w:snapToGrid w:val="0"/>
      </w:pPr>
    </w:p>
  </w:footnote>
  <w:footnote w:id="2">
    <w:p w14:paraId="35681799">
      <w:pPr>
        <w:pStyle w:val="3"/>
        <w:snapToGrid w:val="0"/>
        <w:rPr>
          <w:rFonts w:hint="default"/>
        </w:rPr>
      </w:pPr>
      <w:r>
        <w:rPr>
          <w:rStyle w:val="10"/>
        </w:rPr>
        <w:footnoteRef/>
      </w:r>
      <w:r>
        <w:t xml:space="preserve"> </w:t>
      </w:r>
      <w:r>
        <w:rPr>
          <w:rFonts w:hint="default"/>
          <w:lang w:val="en-US" w:eastAsia="zh-CN"/>
        </w:rPr>
        <w:t>摘自《Living with grandparents</w:t>
      </w:r>
      <w:r>
        <w:rPr>
          <w:rFonts w:hint="eastAsia"/>
          <w:lang w:val="en-US" w:eastAsia="zh-CN"/>
        </w:rPr>
        <w:t>—</w:t>
      </w:r>
      <w:r>
        <w:rPr>
          <w:rFonts w:hint="default"/>
          <w:lang w:val="en-US" w:eastAsia="zh-CN"/>
        </w:rPr>
        <w:t>Multi-generational families and the academic performance of grandchildren in China》</w:t>
      </w:r>
    </w:p>
    <w:p w14:paraId="00E57D7E">
      <w:pPr>
        <w:pStyle w:val="3"/>
        <w:snapToGrid w:val="0"/>
      </w:pPr>
    </w:p>
  </w:footnote>
  <w:footnote w:id="3">
    <w:p w14:paraId="4CB19B5A">
      <w:pPr>
        <w:pStyle w:val="3"/>
        <w:snapToGrid w:val="0"/>
        <w:rPr>
          <w:rFonts w:hint="default"/>
        </w:rPr>
      </w:pPr>
      <w:r>
        <w:rPr>
          <w:rStyle w:val="10"/>
        </w:rPr>
        <w:footnoteRef/>
      </w:r>
      <w:r>
        <w:t xml:space="preserve"> </w:t>
      </w:r>
      <w:r>
        <w:rPr>
          <w:rFonts w:hint="default"/>
          <w:lang w:val="en-US" w:eastAsia="zh-CN"/>
        </w:rPr>
        <w:t>传统社会家庭亲情的多“缘”联结，参考自相关断亲研究中的人际联结分析。人际关系可以分为血缘、姻缘、地缘、业缘、利缘等多种“缘”，在古代农业社会，大家庭的亲情是集齐了所有“缘”的——以血缘、姻缘为核心，加上交通闭塞导致的地缘绑定、大家都务农的业缘重合，还有生产力低下时必须依赖亲戚抗风险的利缘，甚至因为信息闭塞、文化水平相近形成的趣缘，所以传统亲情关系特别牢固，就算有矛盾也能容忍。</w:t>
      </w:r>
    </w:p>
    <w:p w14:paraId="20FC0ED5">
      <w:pPr>
        <w:pStyle w:val="3"/>
        <w:snapToGrid w:val="0"/>
      </w:pPr>
    </w:p>
  </w:footnote>
  <w:footnote w:id="4">
    <w:p w14:paraId="1E2ECD6F">
      <w:pPr>
        <w:pStyle w:val="3"/>
        <w:snapToGrid w:val="0"/>
        <w:rPr>
          <w:rFonts w:hint="default"/>
        </w:rPr>
      </w:pPr>
      <w:r>
        <w:rPr>
          <w:rStyle w:val="10"/>
        </w:rPr>
        <w:footnoteRef/>
      </w:r>
      <w:r>
        <w:t xml:space="preserve"> </w:t>
      </w:r>
      <w:r>
        <w:rPr>
          <w:rFonts w:hint="default"/>
          <w:lang w:val="en-US" w:eastAsia="zh-CN"/>
        </w:rPr>
        <w:t>数据来源于《宗族对农村人力资本投资的影响分析》，丁从明, 邵敏敏, 梁甄桥</w:t>
      </w:r>
    </w:p>
    <w:p w14:paraId="634A4EC6">
      <w:pPr>
        <w:pStyle w:val="3"/>
        <w:snapToGrid w:val="0"/>
      </w:pPr>
    </w:p>
  </w:footnote>
  <w:footnote w:id="5">
    <w:p w14:paraId="474B7066">
      <w:pPr>
        <w:pStyle w:val="3"/>
        <w:snapToGrid w:val="0"/>
      </w:pPr>
      <w:r>
        <w:rPr>
          <w:rStyle w:val="10"/>
        </w:rPr>
        <w:footnoteRef/>
      </w:r>
      <w:r>
        <w:t xml:space="preserve"> </w:t>
      </w:r>
      <w:r>
        <w:rPr>
          <w:rFonts w:hint="default"/>
          <w:lang w:val="en-US" w:eastAsia="zh-CN"/>
        </w:rPr>
        <w:t>数据来源于《宗族对农村人力资本投资的影响分析》，丁从明, 邵敏敏, 梁甄桥</w:t>
      </w:r>
    </w:p>
  </w:footnote>
  <w:footnote w:id="6">
    <w:p w14:paraId="49730069">
      <w:pPr>
        <w:pStyle w:val="3"/>
        <w:snapToGrid w:val="0"/>
        <w:rPr>
          <w:rFonts w:hint="default" w:eastAsia="宋体"/>
          <w:lang w:val="en-US" w:eastAsia="zh-CN"/>
        </w:rPr>
      </w:pPr>
      <w:r>
        <w:rPr>
          <w:rStyle w:val="10"/>
        </w:rPr>
        <w:footnoteRef/>
      </w:r>
      <w:r>
        <w:t xml:space="preserve"> </w:t>
      </w:r>
      <w:r>
        <w:rPr>
          <w:rFonts w:hint="eastAsia"/>
          <w:lang w:val="en-US" w:eastAsia="zh-CN"/>
        </w:rPr>
        <w:t>同⁶ 来源</w:t>
      </w:r>
    </w:p>
  </w:footnote>
  <w:footnote w:id="7">
    <w:p w14:paraId="7CD8447A">
      <w:pPr>
        <w:pStyle w:val="3"/>
        <w:snapToGrid w:val="0"/>
        <w:rPr>
          <w:rFonts w:hint="default"/>
        </w:rPr>
      </w:pPr>
      <w:r>
        <w:rPr>
          <w:rStyle w:val="10"/>
        </w:rPr>
        <w:footnoteRef/>
      </w:r>
      <w:r>
        <w:t xml:space="preserve"> </w:t>
      </w:r>
      <w:r>
        <w:rPr>
          <w:rFonts w:hint="default"/>
          <w:lang w:val="en-US" w:eastAsia="zh-CN"/>
        </w:rPr>
        <w:t>数据来源《青年“断亲”：何以发生？何去何从？》</w:t>
      </w:r>
      <w:r>
        <w:rPr>
          <w:rFonts w:hint="eastAsia"/>
          <w:lang w:val="en-US" w:eastAsia="zh-CN"/>
        </w:rPr>
        <w:t>，</w:t>
      </w:r>
      <w:r>
        <w:rPr>
          <w:rFonts w:hint="default"/>
          <w:lang w:val="en-US" w:eastAsia="zh-CN"/>
        </w:rPr>
        <w:t>胡小武，南京大学</w:t>
      </w:r>
    </w:p>
    <w:p w14:paraId="1F8F3FE8">
      <w:pPr>
        <w:pStyle w:val="3"/>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6EA0F"/>
    <w:multiLevelType w:val="singleLevel"/>
    <w:tmpl w:val="B336EA0F"/>
    <w:lvl w:ilvl="0" w:tentative="0">
      <w:start w:val="1"/>
      <w:numFmt w:val="chineseCounting"/>
      <w:suff w:val="nothing"/>
      <w:lvlText w:val="%1、"/>
      <w:lvlJc w:val="left"/>
      <w:rPr>
        <w:rFonts w:hint="eastAsia" w:asciiTheme="majorEastAsia" w:hAnsiTheme="majorEastAsia" w:eastAsiaTheme="majorEastAsia" w:cstheme="majorEastAsia"/>
      </w:rPr>
    </w:lvl>
  </w:abstractNum>
  <w:abstractNum w:abstractNumId="1">
    <w:nsid w:val="F46568CF"/>
    <w:multiLevelType w:val="singleLevel"/>
    <w:tmpl w:val="F46568CF"/>
    <w:lvl w:ilvl="0" w:tentative="0">
      <w:start w:val="1"/>
      <w:numFmt w:val="chineseCounting"/>
      <w:suff w:val="nothing"/>
      <w:lvlText w:val="（%1）"/>
      <w:lvlJc w:val="left"/>
      <w:rPr>
        <w:rFonts w:hint="eastAsia"/>
      </w:rPr>
    </w:lvl>
  </w:abstractNum>
  <w:abstractNum w:abstractNumId="2">
    <w:nsid w:val="05998353"/>
    <w:multiLevelType w:val="singleLevel"/>
    <w:tmpl w:val="05998353"/>
    <w:lvl w:ilvl="0" w:tentative="0">
      <w:start w:val="2"/>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6"/>
    <w:footnote w:id="1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9420EF8"/>
    <w:rsid w:val="0AE63019"/>
    <w:rsid w:val="0C50326D"/>
    <w:rsid w:val="14D032DF"/>
    <w:rsid w:val="1ABF7E03"/>
    <w:rsid w:val="1DB20AC8"/>
    <w:rsid w:val="2848051E"/>
    <w:rsid w:val="2EFCDA93"/>
    <w:rsid w:val="30E43E01"/>
    <w:rsid w:val="39B62FF5"/>
    <w:rsid w:val="3D7821D8"/>
    <w:rsid w:val="3E082827"/>
    <w:rsid w:val="3FEBF2E7"/>
    <w:rsid w:val="49A0233B"/>
    <w:rsid w:val="4CAC4C77"/>
    <w:rsid w:val="52736A2F"/>
    <w:rsid w:val="53D208E5"/>
    <w:rsid w:val="591E49E7"/>
    <w:rsid w:val="66615DF8"/>
    <w:rsid w:val="687A23E9"/>
    <w:rsid w:val="690416E4"/>
    <w:rsid w:val="6BFD6FE7"/>
    <w:rsid w:val="70BD6A21"/>
    <w:rsid w:val="73431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note text"/>
    <w:basedOn w:val="1"/>
    <w:qFormat/>
    <w:uiPriority w:val="0"/>
    <w:pPr>
      <w:snapToGrid w:val="0"/>
      <w:jc w:val="left"/>
    </w:pPr>
    <w:rPr>
      <w:sz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character" w:styleId="10">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10221</Words>
  <Characters>10948</Characters>
  <Lines>0</Lines>
  <Paragraphs>0</Paragraphs>
  <TotalTime>14</TotalTime>
  <ScaleCrop>false</ScaleCrop>
  <LinksUpToDate>false</LinksUpToDate>
  <CharactersWithSpaces>11141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2025-12-28T16:33:27Z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