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4B1D6D">
      <w:pPr>
        <w:spacing w:line="440" w:lineRule="exact"/>
        <w:jc w:val="center"/>
        <w:rPr>
          <w:rFonts w:hint="eastAsia" w:ascii="黑体" w:hAnsi="黑体" w:eastAsia="黑体"/>
          <w:b/>
          <w:w w:val="96"/>
          <w:sz w:val="30"/>
          <w:szCs w:val="30"/>
        </w:rPr>
      </w:pPr>
      <w:r>
        <w:rPr>
          <w:rFonts w:ascii="黑体" w:hAnsi="黑体" w:eastAsia="黑体"/>
          <w:b/>
          <w:color w:val="000000" w:themeColor="text1"/>
          <w:w w:val="96"/>
          <w:sz w:val="30"/>
          <w:szCs w:val="30"/>
          <w14:textFill>
            <w14:solidFill>
              <w14:schemeClr w14:val="tx1"/>
            </w14:solidFill>
          </w14:textFill>
        </w:rPr>
        <w:drawing>
          <wp:anchor distT="0" distB="0" distL="114300" distR="114300" simplePos="0" relativeHeight="251660288" behindDoc="0" locked="0" layoutInCell="1" allowOverlap="1">
            <wp:simplePos x="0" y="0"/>
            <wp:positionH relativeFrom="column">
              <wp:posOffset>-170180</wp:posOffset>
            </wp:positionH>
            <wp:positionV relativeFrom="paragraph">
              <wp:posOffset>74930</wp:posOffset>
            </wp:positionV>
            <wp:extent cx="833120" cy="655955"/>
            <wp:effectExtent l="0" t="0" r="0" b="1270"/>
            <wp:wrapThrough wrapText="bothSides">
              <wp:wrapPolygon>
                <wp:start x="7195" y="1443"/>
                <wp:lineTo x="4544" y="2405"/>
                <wp:lineTo x="379" y="7214"/>
                <wp:lineTo x="379" y="11542"/>
                <wp:lineTo x="1515" y="16833"/>
                <wp:lineTo x="7195" y="20199"/>
                <wp:lineTo x="8330" y="21161"/>
                <wp:lineTo x="12496" y="21161"/>
                <wp:lineTo x="18933" y="17313"/>
                <wp:lineTo x="19312" y="16833"/>
                <wp:lineTo x="20826" y="11061"/>
                <wp:lineTo x="20826" y="7214"/>
                <wp:lineTo x="16282" y="2405"/>
                <wp:lineTo x="13632" y="1443"/>
                <wp:lineTo x="7195" y="1443"/>
              </wp:wrapPolygon>
            </wp:wrapThrough>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833120" cy="655955"/>
                    </a:xfrm>
                    <a:prstGeom prst="rect">
                      <a:avLst/>
                    </a:prstGeom>
                  </pic:spPr>
                </pic:pic>
              </a:graphicData>
            </a:graphic>
          </wp:anchor>
        </w:drawing>
      </w:r>
    </w:p>
    <w:p w14:paraId="27BB1FFC">
      <w:pPr>
        <w:spacing w:line="440" w:lineRule="exact"/>
        <w:jc w:val="center"/>
        <w:rPr>
          <w:rFonts w:hint="eastAsia" w:ascii="黑体" w:hAnsi="黑体" w:eastAsia="黑体"/>
          <w:b/>
          <w:w w:val="96"/>
          <w:sz w:val="30"/>
          <w:szCs w:val="30"/>
        </w:rPr>
      </w:pPr>
    </w:p>
    <w:p w14:paraId="4449B91F">
      <w:pPr>
        <w:spacing w:line="440" w:lineRule="exact"/>
        <w:jc w:val="both"/>
        <w:rPr>
          <w:rFonts w:hint="eastAsia" w:ascii="黑体" w:hAnsi="黑体" w:eastAsia="黑体"/>
          <w:b/>
          <w:w w:val="96"/>
          <w:sz w:val="30"/>
          <w:szCs w:val="30"/>
        </w:rPr>
      </w:pPr>
    </w:p>
    <w:p w14:paraId="24FABA1C">
      <w:pPr>
        <w:spacing w:line="440" w:lineRule="exact"/>
        <w:jc w:val="center"/>
        <w:rPr>
          <w:rFonts w:ascii="黑体" w:hAnsi="黑体" w:eastAsia="黑体"/>
          <w:b/>
          <w:color w:val="000000" w:themeColor="text1"/>
          <w:w w:val="96"/>
          <w:sz w:val="36"/>
          <w:szCs w:val="36"/>
          <w14:textFill>
            <w14:solidFill>
              <w14:schemeClr w14:val="tx1"/>
            </w14:solidFill>
          </w14:textFill>
        </w:rPr>
      </w:pPr>
      <w:r>
        <w:rPr>
          <w:rFonts w:hint="eastAsia" w:ascii="黑体" w:hAnsi="黑体" w:eastAsia="黑体"/>
          <w:b/>
          <w:color w:val="000000" w:themeColor="text1"/>
          <w:w w:val="96"/>
          <w:sz w:val="36"/>
          <w:szCs w:val="36"/>
          <w14:textFill>
            <w14:solidFill>
              <w14:schemeClr w14:val="tx1"/>
            </w14:solidFill>
          </w14:textFill>
        </w:rPr>
        <w:t>华</w:t>
      </w:r>
      <w:r>
        <w:rPr>
          <w:rFonts w:ascii="黑体" w:hAnsi="黑体" w:eastAsia="黑体"/>
          <w:b/>
          <w:color w:val="000000" w:themeColor="text1"/>
          <w:w w:val="96"/>
          <w:sz w:val="36"/>
          <w:szCs w:val="36"/>
          <w14:textFill>
            <w14:solidFill>
              <w14:schemeClr w14:val="tx1"/>
            </w14:solidFill>
          </w14:textFill>
        </w:rPr>
        <w:t>中科技大学</w:t>
      </w:r>
      <w:r>
        <w:rPr>
          <w:rFonts w:hint="eastAsia" w:ascii="黑体" w:hAnsi="黑体" w:eastAsia="黑体"/>
          <w:b/>
          <w:color w:val="000000" w:themeColor="text1"/>
          <w:w w:val="96"/>
          <w:sz w:val="36"/>
          <w:szCs w:val="36"/>
          <w:lang w:val="en-US" w:eastAsia="zh-CN"/>
          <w14:textFill>
            <w14:solidFill>
              <w14:schemeClr w14:val="tx1"/>
            </w14:solidFill>
          </w14:textFill>
        </w:rPr>
        <w:t>2024～2025</w:t>
      </w:r>
      <w:r>
        <w:rPr>
          <w:rFonts w:hint="eastAsia" w:ascii="黑体" w:hAnsi="黑体" w:eastAsia="黑体"/>
          <w:b/>
          <w:color w:val="000000" w:themeColor="text1"/>
          <w:w w:val="96"/>
          <w:sz w:val="36"/>
          <w:szCs w:val="36"/>
          <w14:textFill>
            <w14:solidFill>
              <w14:schemeClr w14:val="tx1"/>
            </w14:solidFill>
          </w14:textFill>
        </w:rPr>
        <w:t>学年第</w:t>
      </w:r>
      <w:r>
        <w:rPr>
          <w:rFonts w:hint="eastAsia" w:ascii="黑体" w:hAnsi="黑体" w:eastAsia="黑体"/>
          <w:b/>
          <w:color w:val="000000" w:themeColor="text1"/>
          <w:w w:val="96"/>
          <w:sz w:val="36"/>
          <w:szCs w:val="36"/>
          <w:lang w:val="en-US" w:eastAsia="zh-CN"/>
          <w14:textFill>
            <w14:solidFill>
              <w14:schemeClr w14:val="tx1"/>
            </w14:solidFill>
          </w14:textFill>
        </w:rPr>
        <w:t>一</w:t>
      </w:r>
      <w:r>
        <w:rPr>
          <w:rFonts w:hint="eastAsia" w:ascii="黑体" w:hAnsi="黑体" w:eastAsia="黑体"/>
          <w:b/>
          <w:color w:val="000000" w:themeColor="text1"/>
          <w:w w:val="96"/>
          <w:sz w:val="36"/>
          <w:szCs w:val="36"/>
          <w14:textFill>
            <w14:solidFill>
              <w14:schemeClr w14:val="tx1"/>
            </w14:solidFill>
          </w14:textFill>
        </w:rPr>
        <w:t>学期</w:t>
      </w:r>
      <w:r>
        <w:rPr>
          <w:rFonts w:ascii="黑体" w:hAnsi="黑体" w:eastAsia="黑体"/>
          <w:color w:val="000000" w:themeColor="text1"/>
          <w:sz w:val="36"/>
          <w:szCs w:val="36"/>
          <w14:textFill>
            <w14:solidFill>
              <w14:schemeClr w14:val="tx1"/>
            </w14:solidFill>
          </w14:textFill>
        </w:rPr>
        <w:drawing>
          <wp:anchor distT="0" distB="0" distL="114300" distR="114300" simplePos="0" relativeHeight="251659264" behindDoc="0" locked="0" layoutInCell="1" allowOverlap="1">
            <wp:simplePos x="0" y="0"/>
            <wp:positionH relativeFrom="column">
              <wp:posOffset>-3202305</wp:posOffset>
            </wp:positionH>
            <wp:positionV relativeFrom="paragraph">
              <wp:posOffset>252730</wp:posOffset>
            </wp:positionV>
            <wp:extent cx="1102360" cy="869315"/>
            <wp:effectExtent l="0" t="0" r="0" b="0"/>
            <wp:wrapNone/>
            <wp:docPr id="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102360" cy="869315"/>
                    </a:xfrm>
                    <a:prstGeom prst="rect">
                      <a:avLst/>
                    </a:prstGeom>
                    <a:noFill/>
                    <a:ln>
                      <a:noFill/>
                    </a:ln>
                  </pic:spPr>
                </pic:pic>
              </a:graphicData>
            </a:graphic>
          </wp:anchor>
        </w:drawing>
      </w:r>
    </w:p>
    <w:p w14:paraId="3785FFB7">
      <w:pPr>
        <w:jc w:val="center"/>
        <w:rPr>
          <w:rFonts w:hint="eastAsia" w:ascii="黑体" w:hAnsi="黑体" w:eastAsia="黑体"/>
          <w:b/>
          <w:color w:val="000000" w:themeColor="text1"/>
          <w:sz w:val="36"/>
          <w:szCs w:val="36"/>
          <w:lang w:val="en-US" w:eastAsia="zh-CN"/>
          <w14:textFill>
            <w14:solidFill>
              <w14:schemeClr w14:val="tx1"/>
            </w14:solidFill>
          </w14:textFill>
        </w:rPr>
      </w:pPr>
      <w:r>
        <w:rPr>
          <w:rFonts w:hint="eastAsia" w:ascii="黑体" w:hAnsi="黑体" w:eastAsia="黑体"/>
          <w:b/>
          <w:color w:val="000000" w:themeColor="text1"/>
          <w:sz w:val="36"/>
          <w:szCs w:val="36"/>
          <w14:textFill>
            <w14:solidFill>
              <w14:schemeClr w14:val="tx1"/>
            </w14:solidFill>
          </w14:textFill>
        </w:rPr>
        <w:t xml:space="preserve">“ </w:t>
      </w:r>
      <w:r>
        <w:rPr>
          <w:rFonts w:hint="eastAsia" w:ascii="黑体" w:hAnsi="黑体" w:eastAsia="黑体"/>
          <w:b/>
          <w:color w:val="000000" w:themeColor="text1"/>
          <w:sz w:val="36"/>
          <w:szCs w:val="36"/>
          <w:lang w:val="en-US" w:eastAsia="zh-CN"/>
          <w14:textFill>
            <w14:solidFill>
              <w14:schemeClr w14:val="tx1"/>
            </w14:solidFill>
          </w14:textFill>
        </w:rPr>
        <w:t>社会学概论</w:t>
      </w:r>
      <w:r>
        <w:rPr>
          <w:rFonts w:hint="eastAsia" w:ascii="黑体" w:hAnsi="黑体" w:eastAsia="黑体"/>
          <w:b/>
          <w:color w:val="000000" w:themeColor="text1"/>
          <w:sz w:val="36"/>
          <w:szCs w:val="36"/>
          <w14:textFill>
            <w14:solidFill>
              <w14:schemeClr w14:val="tx1"/>
            </w14:solidFill>
          </w14:textFill>
        </w:rPr>
        <w:t xml:space="preserve"> ”</w:t>
      </w:r>
      <w:r>
        <w:rPr>
          <w:rFonts w:hint="eastAsia" w:ascii="黑体" w:hAnsi="黑体" w:eastAsia="黑体"/>
          <w:b/>
          <w:color w:val="000000" w:themeColor="text1"/>
          <w:sz w:val="36"/>
          <w:szCs w:val="36"/>
          <w:lang w:val="en-US" w:eastAsia="zh-CN"/>
          <w14:textFill>
            <w14:solidFill>
              <w14:schemeClr w14:val="tx1"/>
            </w14:solidFill>
          </w14:textFill>
        </w:rPr>
        <w:t>结课论文</w:t>
      </w:r>
    </w:p>
    <w:p w14:paraId="7E0EBC8B">
      <w:pPr>
        <w:spacing w:line="440" w:lineRule="exact"/>
        <w:ind w:firstLine="120" w:firstLineChars="50"/>
        <w:jc w:val="center"/>
        <w:rPr>
          <w:rFonts w:hint="eastAsia"/>
          <w:b/>
          <w:sz w:val="24"/>
        </w:rPr>
      </w:pPr>
    </w:p>
    <w:p w14:paraId="59A9EF00">
      <w:pPr>
        <w:spacing w:line="440" w:lineRule="exact"/>
        <w:ind w:firstLine="120" w:firstLineChars="50"/>
        <w:jc w:val="center"/>
        <w:rPr>
          <w:rFonts w:hint="eastAsia"/>
          <w:b/>
          <w:sz w:val="24"/>
        </w:rPr>
      </w:pPr>
    </w:p>
    <w:p w14:paraId="3FF4B287">
      <w:pPr>
        <w:spacing w:line="440" w:lineRule="exact"/>
        <w:jc w:val="both"/>
        <w:rPr>
          <w:rFonts w:hint="eastAsia"/>
          <w:b/>
          <w:sz w:val="24"/>
        </w:rPr>
      </w:pPr>
    </w:p>
    <w:tbl>
      <w:tblPr>
        <w:tblStyle w:val="6"/>
        <w:tblpPr w:leftFromText="180" w:rightFromText="180" w:vertAnchor="text" w:horzAnchor="page" w:tblpX="3707" w:tblpY="22"/>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0"/>
        <w:gridCol w:w="2969"/>
      </w:tblGrid>
      <w:tr w14:paraId="1FDC8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2" w:hRule="atLeast"/>
        </w:trPr>
        <w:tc>
          <w:tcPr>
            <w:tcW w:w="1990" w:type="dxa"/>
            <w:vAlign w:val="center"/>
          </w:tcPr>
          <w:p w14:paraId="13052258">
            <w:pPr>
              <w:spacing w:line="440" w:lineRule="exact"/>
              <w:jc w:val="center"/>
              <w:rPr>
                <w:rFonts w:hint="eastAsia"/>
                <w:b/>
                <w:sz w:val="24"/>
                <w:vertAlign w:val="baseline"/>
              </w:rPr>
            </w:pPr>
            <w:r>
              <w:rPr>
                <w:rFonts w:hint="eastAsia"/>
                <w:b/>
                <w:sz w:val="28"/>
                <w:szCs w:val="28"/>
              </w:rPr>
              <w:t>院（系</w:t>
            </w:r>
            <w:r>
              <w:rPr>
                <w:b/>
                <w:sz w:val="28"/>
                <w:szCs w:val="28"/>
              </w:rPr>
              <w:t>）</w:t>
            </w:r>
            <w:r>
              <w:rPr>
                <w:rFonts w:hint="eastAsia"/>
                <w:b/>
                <w:sz w:val="28"/>
                <w:szCs w:val="28"/>
              </w:rPr>
              <w:t>：</w:t>
            </w:r>
          </w:p>
        </w:tc>
        <w:tc>
          <w:tcPr>
            <w:tcW w:w="2969" w:type="dxa"/>
            <w:tcBorders>
              <w:bottom w:val="single" w:color="auto" w:sz="4" w:space="0"/>
            </w:tcBorders>
            <w:vAlign w:val="center"/>
          </w:tcPr>
          <w:p w14:paraId="7ABCE521">
            <w:pPr>
              <w:spacing w:line="440" w:lineRule="exact"/>
              <w:jc w:val="center"/>
              <w:rPr>
                <w:rFonts w:hint="eastAsia" w:eastAsia="宋体"/>
                <w:b/>
                <w:sz w:val="24"/>
                <w:vertAlign w:val="baseline"/>
                <w:lang w:val="en-US" w:eastAsia="zh-CN"/>
              </w:rPr>
            </w:pPr>
            <w:r>
              <w:rPr>
                <w:rFonts w:hint="eastAsia"/>
                <w:b/>
                <w:sz w:val="24"/>
                <w:vertAlign w:val="baseline"/>
                <w:lang w:val="en-US" w:eastAsia="zh-CN"/>
              </w:rPr>
              <w:t>公共管理学院</w:t>
            </w:r>
          </w:p>
        </w:tc>
      </w:tr>
      <w:tr w14:paraId="2CB2B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trPr>
        <w:tc>
          <w:tcPr>
            <w:tcW w:w="1990" w:type="dxa"/>
            <w:vAlign w:val="center"/>
          </w:tcPr>
          <w:p w14:paraId="699F4277">
            <w:pPr>
              <w:spacing w:line="440" w:lineRule="exact"/>
              <w:jc w:val="center"/>
              <w:rPr>
                <w:rFonts w:hint="eastAsia"/>
                <w:b/>
                <w:sz w:val="24"/>
                <w:vertAlign w:val="baseline"/>
              </w:rPr>
            </w:pPr>
            <w:r>
              <w:rPr>
                <w:rFonts w:hint="eastAsia"/>
                <w:b/>
                <w:sz w:val="28"/>
                <w:szCs w:val="28"/>
              </w:rPr>
              <w:t>专业班级：</w:t>
            </w:r>
          </w:p>
        </w:tc>
        <w:tc>
          <w:tcPr>
            <w:tcW w:w="2969" w:type="dxa"/>
            <w:tcBorders>
              <w:top w:val="single" w:color="auto" w:sz="4" w:space="0"/>
              <w:bottom w:val="single" w:color="auto" w:sz="4" w:space="0"/>
            </w:tcBorders>
            <w:vAlign w:val="center"/>
          </w:tcPr>
          <w:p w14:paraId="28C7749E">
            <w:pPr>
              <w:spacing w:line="440" w:lineRule="exact"/>
              <w:jc w:val="center"/>
              <w:rPr>
                <w:rFonts w:hint="default" w:eastAsia="宋体"/>
                <w:b/>
                <w:sz w:val="24"/>
                <w:vertAlign w:val="baseline"/>
                <w:lang w:val="en-US" w:eastAsia="zh-CN"/>
              </w:rPr>
            </w:pPr>
            <w:r>
              <w:rPr>
                <w:rFonts w:hint="eastAsia"/>
                <w:b/>
                <w:sz w:val="24"/>
                <w:vertAlign w:val="baseline"/>
                <w:lang w:val="en-US" w:eastAsia="zh-CN"/>
              </w:rPr>
              <w:t>公共事业管理2401班</w:t>
            </w:r>
          </w:p>
        </w:tc>
      </w:tr>
      <w:tr w14:paraId="2AFE9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trPr>
        <w:tc>
          <w:tcPr>
            <w:tcW w:w="1990" w:type="dxa"/>
            <w:vAlign w:val="center"/>
          </w:tcPr>
          <w:p w14:paraId="7C1A10F7">
            <w:pPr>
              <w:spacing w:line="440" w:lineRule="exact"/>
              <w:jc w:val="center"/>
              <w:rPr>
                <w:rFonts w:hint="eastAsia"/>
                <w:b/>
                <w:sz w:val="24"/>
                <w:vertAlign w:val="baseline"/>
              </w:rPr>
            </w:pPr>
            <w:r>
              <w:rPr>
                <w:rFonts w:hint="eastAsia"/>
                <w:b/>
                <w:sz w:val="28"/>
                <w:szCs w:val="28"/>
              </w:rPr>
              <w:t xml:space="preserve">学 </w:t>
            </w:r>
            <w:r>
              <w:rPr>
                <w:rFonts w:hint="eastAsia"/>
                <w:b/>
                <w:sz w:val="28"/>
                <w:szCs w:val="28"/>
                <w:lang w:val="en-US" w:eastAsia="zh-CN"/>
              </w:rPr>
              <w:t xml:space="preserve"> </w:t>
            </w:r>
            <w:r>
              <w:rPr>
                <w:rFonts w:hint="eastAsia"/>
                <w:b/>
                <w:sz w:val="28"/>
                <w:szCs w:val="28"/>
              </w:rPr>
              <w:t xml:space="preserve"> 号：</w:t>
            </w:r>
          </w:p>
        </w:tc>
        <w:tc>
          <w:tcPr>
            <w:tcW w:w="2969" w:type="dxa"/>
            <w:tcBorders>
              <w:top w:val="single" w:color="auto" w:sz="4" w:space="0"/>
              <w:bottom w:val="single" w:color="auto" w:sz="4" w:space="0"/>
            </w:tcBorders>
            <w:vAlign w:val="center"/>
          </w:tcPr>
          <w:p w14:paraId="0A618D96">
            <w:pPr>
              <w:spacing w:line="440" w:lineRule="exact"/>
              <w:jc w:val="center"/>
              <w:rPr>
                <w:rFonts w:hint="default" w:eastAsia="宋体"/>
                <w:b/>
                <w:sz w:val="24"/>
                <w:vertAlign w:val="baseline"/>
                <w:lang w:val="en-US" w:eastAsia="zh-CN"/>
              </w:rPr>
            </w:pPr>
            <w:r>
              <w:rPr>
                <w:rFonts w:hint="eastAsia"/>
                <w:b/>
                <w:sz w:val="24"/>
                <w:vertAlign w:val="baseline"/>
                <w:lang w:val="en-US" w:eastAsia="zh-CN"/>
              </w:rPr>
              <w:t>U202416071</w:t>
            </w:r>
          </w:p>
        </w:tc>
      </w:tr>
      <w:tr w14:paraId="773CA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7" w:hRule="atLeast"/>
        </w:trPr>
        <w:tc>
          <w:tcPr>
            <w:tcW w:w="1990" w:type="dxa"/>
            <w:vAlign w:val="center"/>
          </w:tcPr>
          <w:p w14:paraId="74B217FF">
            <w:pPr>
              <w:spacing w:line="440" w:lineRule="exact"/>
              <w:jc w:val="center"/>
              <w:rPr>
                <w:rFonts w:hint="eastAsia"/>
                <w:b/>
                <w:sz w:val="28"/>
                <w:szCs w:val="28"/>
              </w:rPr>
            </w:pPr>
            <w:r>
              <w:rPr>
                <w:rFonts w:hint="eastAsia"/>
                <w:b/>
                <w:sz w:val="28"/>
                <w:szCs w:val="28"/>
              </w:rPr>
              <w:t>姓   名：</w:t>
            </w:r>
          </w:p>
        </w:tc>
        <w:tc>
          <w:tcPr>
            <w:tcW w:w="2969" w:type="dxa"/>
            <w:tcBorders>
              <w:top w:val="single" w:color="auto" w:sz="4" w:space="0"/>
              <w:bottom w:val="single" w:color="auto" w:sz="4" w:space="0"/>
            </w:tcBorders>
            <w:vAlign w:val="center"/>
          </w:tcPr>
          <w:p w14:paraId="0F7FA2F1">
            <w:pPr>
              <w:spacing w:line="440" w:lineRule="exact"/>
              <w:jc w:val="center"/>
              <w:rPr>
                <w:rFonts w:hint="default" w:eastAsia="宋体"/>
                <w:b/>
                <w:sz w:val="24"/>
                <w:vertAlign w:val="baseline"/>
                <w:lang w:val="en-US" w:eastAsia="zh-CN"/>
              </w:rPr>
            </w:pPr>
            <w:r>
              <w:rPr>
                <w:rFonts w:hint="eastAsia"/>
                <w:b/>
                <w:sz w:val="24"/>
                <w:vertAlign w:val="baseline"/>
                <w:lang w:val="en-US" w:eastAsia="zh-CN"/>
              </w:rPr>
              <w:t>梅帅</w:t>
            </w:r>
          </w:p>
        </w:tc>
      </w:tr>
      <w:tr w14:paraId="13856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7" w:hRule="atLeast"/>
        </w:trPr>
        <w:tc>
          <w:tcPr>
            <w:tcW w:w="1990" w:type="dxa"/>
            <w:vAlign w:val="center"/>
          </w:tcPr>
          <w:p w14:paraId="20AD33DB">
            <w:pPr>
              <w:spacing w:line="440" w:lineRule="exact"/>
              <w:jc w:val="center"/>
              <w:rPr>
                <w:rFonts w:hint="eastAsia" w:eastAsia="宋体"/>
                <w:b/>
                <w:sz w:val="28"/>
                <w:szCs w:val="28"/>
                <w:lang w:val="en-US" w:eastAsia="zh-CN"/>
              </w:rPr>
            </w:pPr>
            <w:r>
              <w:rPr>
                <w:rFonts w:hint="eastAsia"/>
                <w:b/>
                <w:sz w:val="28"/>
                <w:szCs w:val="28"/>
                <w:lang w:val="en-US" w:eastAsia="zh-CN"/>
              </w:rPr>
              <w:t>成   绩：</w:t>
            </w:r>
          </w:p>
        </w:tc>
        <w:tc>
          <w:tcPr>
            <w:tcW w:w="2969" w:type="dxa"/>
            <w:tcBorders>
              <w:top w:val="single" w:color="auto" w:sz="4" w:space="0"/>
              <w:bottom w:val="single" w:color="auto" w:sz="4" w:space="0"/>
            </w:tcBorders>
            <w:vAlign w:val="center"/>
          </w:tcPr>
          <w:p w14:paraId="5CDF5277">
            <w:pPr>
              <w:spacing w:line="440" w:lineRule="exact"/>
              <w:jc w:val="center"/>
              <w:rPr>
                <w:rFonts w:hint="eastAsia"/>
                <w:b/>
                <w:sz w:val="24"/>
                <w:vertAlign w:val="baseline"/>
              </w:rPr>
            </w:pPr>
          </w:p>
        </w:tc>
      </w:tr>
      <w:tr w14:paraId="43575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6" w:hRule="atLeast"/>
        </w:trPr>
        <w:tc>
          <w:tcPr>
            <w:tcW w:w="1990" w:type="dxa"/>
            <w:vAlign w:val="center"/>
          </w:tcPr>
          <w:p w14:paraId="538107FA">
            <w:pPr>
              <w:spacing w:line="440" w:lineRule="exact"/>
              <w:jc w:val="center"/>
              <w:rPr>
                <w:rFonts w:hint="default"/>
                <w:b/>
                <w:sz w:val="28"/>
                <w:szCs w:val="28"/>
                <w:lang w:val="en-US" w:eastAsia="zh-CN"/>
              </w:rPr>
            </w:pPr>
            <w:r>
              <w:rPr>
                <w:rFonts w:hint="eastAsia"/>
                <w:b/>
                <w:sz w:val="28"/>
                <w:szCs w:val="28"/>
                <w:lang w:val="en-US" w:eastAsia="zh-CN"/>
              </w:rPr>
              <w:t>签   名：</w:t>
            </w:r>
          </w:p>
        </w:tc>
        <w:tc>
          <w:tcPr>
            <w:tcW w:w="2969" w:type="dxa"/>
            <w:tcBorders>
              <w:top w:val="single" w:color="auto" w:sz="4" w:space="0"/>
              <w:bottom w:val="single" w:color="auto" w:sz="4" w:space="0"/>
            </w:tcBorders>
            <w:vAlign w:val="center"/>
          </w:tcPr>
          <w:p w14:paraId="1BB0B1AE">
            <w:pPr>
              <w:spacing w:line="440" w:lineRule="exact"/>
              <w:jc w:val="center"/>
              <w:rPr>
                <w:rFonts w:hint="default" w:eastAsia="宋体"/>
                <w:b/>
                <w:sz w:val="24"/>
                <w:vertAlign w:val="baseline"/>
                <w:lang w:val="en-US" w:eastAsia="zh-CN"/>
              </w:rPr>
            </w:pPr>
          </w:p>
        </w:tc>
      </w:tr>
    </w:tbl>
    <w:p w14:paraId="6E19DF97">
      <w:pPr>
        <w:spacing w:line="440" w:lineRule="exact"/>
        <w:ind w:firstLine="120" w:firstLineChars="50"/>
        <w:jc w:val="center"/>
        <w:rPr>
          <w:rFonts w:hint="eastAsia"/>
          <w:b/>
          <w:sz w:val="24"/>
        </w:rPr>
      </w:pPr>
    </w:p>
    <w:p w14:paraId="5B0E845C">
      <w:pPr>
        <w:jc w:val="both"/>
        <w:rPr>
          <w:rFonts w:hint="default" w:ascii="黑体" w:hAnsi="黑体" w:eastAsia="黑体"/>
          <w:b/>
          <w:sz w:val="30"/>
          <w:szCs w:val="30"/>
          <w:lang w:val="en-US" w:eastAsia="zh-CN"/>
        </w:rPr>
      </w:pPr>
    </w:p>
    <w:p w14:paraId="5CCCC95B">
      <w:pPr>
        <w:keepNext w:val="0"/>
        <w:keepLines w:val="0"/>
        <w:pageBreakBefore w:val="0"/>
        <w:widowControl w:val="0"/>
        <w:kinsoku/>
        <w:wordWrap/>
        <w:overflowPunct/>
        <w:topLinePunct w:val="0"/>
        <w:autoSpaceDE/>
        <w:autoSpaceDN/>
        <w:bidi w:val="0"/>
        <w:adjustRightInd/>
        <w:snapToGrid/>
        <w:spacing w:line="360" w:lineRule="auto"/>
        <w:ind w:firstLine="2240" w:firstLineChars="800"/>
        <w:jc w:val="both"/>
        <w:textAlignment w:val="auto"/>
        <w:rPr>
          <w:rFonts w:hint="eastAsia"/>
          <w:b w:val="0"/>
          <w:bCs/>
          <w:sz w:val="28"/>
          <w:szCs w:val="28"/>
          <w:lang w:val="en-US" w:eastAsia="zh-CN"/>
        </w:rPr>
      </w:pPr>
    </w:p>
    <w:p w14:paraId="7865496C">
      <w:pPr>
        <w:keepNext w:val="0"/>
        <w:keepLines w:val="0"/>
        <w:pageBreakBefore w:val="0"/>
        <w:widowControl w:val="0"/>
        <w:kinsoku/>
        <w:wordWrap/>
        <w:overflowPunct/>
        <w:topLinePunct w:val="0"/>
        <w:autoSpaceDE/>
        <w:autoSpaceDN/>
        <w:bidi w:val="0"/>
        <w:adjustRightInd/>
        <w:snapToGrid/>
        <w:spacing w:line="360" w:lineRule="auto"/>
        <w:ind w:firstLine="2240" w:firstLineChars="800"/>
        <w:jc w:val="both"/>
        <w:textAlignment w:val="auto"/>
        <w:rPr>
          <w:rFonts w:hint="eastAsia"/>
          <w:b w:val="0"/>
          <w:bCs/>
          <w:sz w:val="28"/>
          <w:szCs w:val="28"/>
          <w:lang w:val="en-US" w:eastAsia="zh-CN"/>
        </w:rPr>
      </w:pPr>
    </w:p>
    <w:p w14:paraId="41924FAD">
      <w:pPr>
        <w:keepNext w:val="0"/>
        <w:keepLines w:val="0"/>
        <w:pageBreakBefore w:val="0"/>
        <w:widowControl w:val="0"/>
        <w:kinsoku/>
        <w:wordWrap/>
        <w:overflowPunct/>
        <w:topLinePunct w:val="0"/>
        <w:autoSpaceDE/>
        <w:autoSpaceDN/>
        <w:bidi w:val="0"/>
        <w:adjustRightInd/>
        <w:snapToGrid/>
        <w:spacing w:line="360" w:lineRule="auto"/>
        <w:ind w:firstLine="2240" w:firstLineChars="800"/>
        <w:jc w:val="both"/>
        <w:textAlignment w:val="auto"/>
        <w:rPr>
          <w:rFonts w:hint="eastAsia"/>
          <w:b w:val="0"/>
          <w:bCs/>
          <w:sz w:val="28"/>
          <w:szCs w:val="28"/>
          <w:lang w:val="en-US" w:eastAsia="zh-CN"/>
        </w:rPr>
      </w:pPr>
    </w:p>
    <w:p w14:paraId="224D0C4C">
      <w:pPr>
        <w:jc w:val="center"/>
        <w:rPr>
          <w:rFonts w:hint="eastAsia" w:ascii="黑体" w:hAnsi="黑体" w:eastAsia="黑体"/>
          <w:b/>
          <w:sz w:val="30"/>
          <w:szCs w:val="30"/>
          <w:lang w:val="en-US" w:eastAsia="zh-CN"/>
        </w:rPr>
      </w:pPr>
    </w:p>
    <w:p w14:paraId="218374B4">
      <w:pPr>
        <w:jc w:val="center"/>
        <w:rPr>
          <w:rFonts w:hint="eastAsia" w:ascii="黑体" w:hAnsi="黑体" w:eastAsia="黑体"/>
          <w:b w:val="0"/>
          <w:bCs/>
          <w:sz w:val="30"/>
          <w:szCs w:val="30"/>
          <w:lang w:val="en-US" w:eastAsia="zh-CN"/>
        </w:rPr>
      </w:pPr>
    </w:p>
    <w:p w14:paraId="396A1108">
      <w:pPr>
        <w:jc w:val="center"/>
        <w:rPr>
          <w:rFonts w:hint="eastAsia" w:ascii="黑体" w:hAnsi="黑体" w:eastAsia="黑体"/>
          <w:b w:val="0"/>
          <w:bCs/>
          <w:sz w:val="30"/>
          <w:szCs w:val="30"/>
          <w:lang w:val="en-US" w:eastAsia="zh-CN"/>
        </w:rPr>
      </w:pPr>
    </w:p>
    <w:p w14:paraId="7C2BAD9E">
      <w:pPr>
        <w:jc w:val="center"/>
        <w:rPr>
          <w:rFonts w:hint="eastAsia" w:ascii="黑体" w:hAnsi="黑体" w:eastAsia="黑体"/>
          <w:b w:val="0"/>
          <w:bCs/>
          <w:sz w:val="30"/>
          <w:szCs w:val="30"/>
          <w:lang w:val="en-US" w:eastAsia="zh-CN"/>
        </w:rPr>
      </w:pPr>
    </w:p>
    <w:p w14:paraId="10B2569F">
      <w:pPr>
        <w:jc w:val="center"/>
        <w:rPr>
          <w:rFonts w:hint="eastAsia" w:ascii="黑体" w:hAnsi="黑体" w:eastAsia="黑体"/>
          <w:b/>
          <w:sz w:val="28"/>
          <w:szCs w:val="28"/>
          <w:lang w:val="en-US" w:eastAsia="zh-CN"/>
        </w:rPr>
      </w:pPr>
    </w:p>
    <w:p w14:paraId="5F89663F">
      <w:pPr>
        <w:jc w:val="center"/>
        <w:rPr>
          <w:rFonts w:hint="eastAsia" w:ascii="黑体" w:hAnsi="黑体" w:eastAsia="黑体"/>
          <w:b/>
          <w:sz w:val="28"/>
          <w:szCs w:val="28"/>
          <w:lang w:val="en-US" w:eastAsia="zh-CN"/>
        </w:rPr>
      </w:pPr>
    </w:p>
    <w:p w14:paraId="696201C4">
      <w:pPr>
        <w:jc w:val="center"/>
        <w:rPr>
          <w:rFonts w:hint="eastAsia" w:ascii="黑体" w:hAnsi="黑体" w:eastAsia="黑体"/>
          <w:b/>
          <w:sz w:val="28"/>
          <w:szCs w:val="28"/>
          <w:lang w:val="en-US" w:eastAsia="zh-CN"/>
        </w:rPr>
      </w:pPr>
    </w:p>
    <w:p w14:paraId="449A3654">
      <w:pPr>
        <w:jc w:val="center"/>
        <w:rPr>
          <w:rFonts w:hint="eastAsia" w:ascii="黑体" w:hAnsi="黑体" w:eastAsia="黑体"/>
          <w:b/>
          <w:sz w:val="28"/>
          <w:szCs w:val="28"/>
          <w:lang w:val="en-US" w:eastAsia="zh-CN"/>
        </w:rPr>
      </w:pPr>
      <w:r>
        <w:rPr>
          <w:rFonts w:hint="eastAsia" w:ascii="黑体" w:hAnsi="黑体" w:eastAsia="黑体"/>
          <w:b/>
          <w:sz w:val="28"/>
          <w:szCs w:val="28"/>
          <w:lang w:val="en-US" w:eastAsia="zh-CN"/>
        </w:rPr>
        <w:t>提交日期</w:t>
      </w:r>
    </w:p>
    <w:p w14:paraId="7D803E78">
      <w:pPr>
        <w:jc w:val="center"/>
        <w:rPr>
          <w:rFonts w:hint="eastAsia" w:ascii="黑体" w:hAnsi="黑体" w:eastAsia="黑体"/>
          <w:b/>
          <w:sz w:val="28"/>
          <w:szCs w:val="28"/>
          <w:lang w:val="en-US" w:eastAsia="zh-CN"/>
        </w:rPr>
      </w:pPr>
    </w:p>
    <w:p w14:paraId="1F17E5F4">
      <w:pPr>
        <w:rPr>
          <w:rFonts w:hint="default" w:ascii="黑体" w:hAnsi="黑体" w:eastAsia="黑体"/>
          <w:b/>
          <w:sz w:val="28"/>
          <w:szCs w:val="28"/>
          <w:lang w:val="en-US" w:eastAsia="zh-CN"/>
        </w:rPr>
      </w:pPr>
      <w:r>
        <w:rPr>
          <w:rFonts w:hint="default" w:ascii="黑体" w:hAnsi="黑体" w:eastAsia="黑体"/>
          <w:b/>
          <w:sz w:val="28"/>
          <w:szCs w:val="28"/>
          <w:lang w:val="en-US" w:eastAsia="zh-CN"/>
        </w:rPr>
        <w:br w:type="page"/>
      </w:r>
    </w:p>
    <w:p w14:paraId="3DC91661">
      <w:pPr>
        <w:pStyle w:val="2"/>
        <w:keepNext w:val="0"/>
        <w:keepLines w:val="0"/>
        <w:widowControl/>
        <w:suppressLineNumbers w:val="0"/>
        <w:ind w:left="0" w:firstLine="0"/>
        <w:jc w:val="center"/>
        <w:rPr>
          <w:rStyle w:val="8"/>
          <w:rFonts w:hint="eastAsia" w:ascii="方正小标宋_GBK" w:hAnsi="方正小标宋_GBK" w:eastAsia="方正小标宋_GBK" w:cs="方正小标宋_GBK"/>
          <w:b/>
          <w:i w:val="0"/>
          <w:iCs w:val="0"/>
          <w:caps w:val="0"/>
          <w:color w:val="000000"/>
          <w:spacing w:val="0"/>
          <w:sz w:val="32"/>
          <w:szCs w:val="32"/>
          <w:highlight w:val="none"/>
          <w:u w:val="none"/>
          <w:lang w:val="en-US" w:eastAsia="zh-CN"/>
        </w:rPr>
      </w:pPr>
      <w:r>
        <w:rPr>
          <w:rStyle w:val="8"/>
          <w:rFonts w:hint="eastAsia" w:ascii="方正小标宋_GBK" w:hAnsi="方正小标宋_GBK" w:eastAsia="方正小标宋_GBK" w:cs="方正小标宋_GBK"/>
          <w:b/>
          <w:i w:val="0"/>
          <w:iCs w:val="0"/>
          <w:caps w:val="0"/>
          <w:color w:val="000000"/>
          <w:spacing w:val="0"/>
          <w:sz w:val="32"/>
          <w:szCs w:val="32"/>
          <w:highlight w:val="none"/>
          <w:u w:val="none"/>
          <w:lang w:val="en-US" w:eastAsia="zh-CN"/>
        </w:rPr>
        <w:t>当代南方地区宗族关系中的学业竞争</w:t>
      </w:r>
    </w:p>
    <w:p w14:paraId="34ECEF21">
      <w:pPr>
        <w:pStyle w:val="2"/>
        <w:keepNext w:val="0"/>
        <w:keepLines w:val="0"/>
        <w:widowControl/>
        <w:numPr>
          <w:ilvl w:val="0"/>
          <w:numId w:val="1"/>
        </w:numPr>
        <w:suppressLineNumbers w:val="0"/>
        <w:ind w:leftChars="0"/>
        <w:outlineLvl w:val="2"/>
        <w:rPr>
          <w:rStyle w:val="8"/>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8"/>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绪论</w:t>
      </w:r>
    </w:p>
    <w:p w14:paraId="2730EC58">
      <w:pPr>
        <w:numPr>
          <w:ilvl w:val="0"/>
          <w:numId w:val="2"/>
        </w:numPr>
        <w:rPr>
          <w:rFonts w:hint="eastAsia"/>
          <w:sz w:val="24"/>
          <w:szCs w:val="24"/>
          <w:lang w:val="en-US" w:eastAsia="zh-CN"/>
        </w:rPr>
      </w:pPr>
      <w:r>
        <w:rPr>
          <w:rFonts w:hint="eastAsia"/>
          <w:sz w:val="24"/>
          <w:szCs w:val="24"/>
          <w:lang w:val="en-US" w:eastAsia="zh-CN"/>
        </w:rPr>
        <w:t>研究背景</w:t>
      </w:r>
    </w:p>
    <w:p w14:paraId="26C532C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sz w:val="24"/>
          <w:szCs w:val="24"/>
          <w:lang w:val="en-US" w:eastAsia="zh-CN"/>
        </w:rPr>
      </w:pPr>
    </w:p>
    <w:p w14:paraId="11C17D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南方地区的宗族文化长期与教育实践保持着紧密联系。以清代徽州为代表的南方宗族，往往通过族规倡导、办学资助等方式，将教育嵌入宗族运行的核心结构之中，从而在“教育—人才—经济—文化”之间形成相互支撑的良性循环。受“崇儒重教”传统影响，宗族不仅将子弟读书视为家族荣耀的重要来源，还依托血缘信任形成稳定的教育支持网络，在一定程度上缓解了家庭在教育投入中的资金与信息约束。由于历史上宗族在地域分布上呈现“南盛于北”的特征，这类基于宗族关系展开的教育支持机制，在南方地区尤为密集并长期延续，为理解当代南方社会中的教育行为提供了重要的文化背景。</w:t>
      </w:r>
    </w:p>
    <w:p w14:paraId="4FC2A7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24"/>
          <w:lang w:val="en-US" w:eastAsia="zh-CN"/>
        </w:rPr>
      </w:pPr>
    </w:p>
    <w:p w14:paraId="74E02D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改革开放以来，教育制度的深刻调整重塑了宗族关系介入学业的现实环境。义务教育制度的全面推行、“希望工程”等公共政策的实施，使适龄儿童的基本受教育权利得到制度性保障；1999年高校扩招则进一步扩大了高中与高等教育阶段的入学机会。然而，教育资源的增长始终难以匹配社会对学历的高度期待。数据显示，2024年全国普通高中升学率61.02%</w:t>
      </w:r>
      <w:r>
        <w:rPr>
          <w:rStyle w:val="10"/>
          <w:rFonts w:hint="eastAsia" w:ascii="仿宋_GB2312" w:hAnsi="仿宋_GB2312" w:eastAsia="仿宋_GB2312" w:cs="仿宋_GB2312"/>
          <w:sz w:val="24"/>
          <w:szCs w:val="24"/>
          <w:lang w:val="en-US" w:eastAsia="zh-CN"/>
        </w:rPr>
        <w:footnoteReference w:id="0"/>
      </w:r>
      <w:r>
        <w:rPr>
          <w:rFonts w:hint="eastAsia" w:ascii="仿宋_GB2312" w:hAnsi="仿宋_GB2312" w:eastAsia="仿宋_GB2312" w:cs="仿宋_GB2312"/>
          <w:sz w:val="24"/>
          <w:szCs w:val="24"/>
          <w:lang w:val="en-US" w:eastAsia="zh-CN"/>
        </w:rPr>
        <w:t>，本科升学率仅为36.51%</w:t>
      </w:r>
      <w:r>
        <w:rPr>
          <w:rStyle w:val="10"/>
          <w:rFonts w:hint="eastAsia" w:ascii="仿宋_GB2312" w:hAnsi="仿宋_GB2312" w:eastAsia="仿宋_GB2312" w:cs="仿宋_GB2312"/>
          <w:sz w:val="24"/>
          <w:szCs w:val="24"/>
          <w:lang w:val="en-US" w:eastAsia="zh-CN"/>
        </w:rPr>
        <w:footnoteReference w:id="1"/>
      </w:r>
      <w:r>
        <w:rPr>
          <w:rFonts w:hint="eastAsia" w:ascii="仿宋_GB2312" w:hAnsi="仿宋_GB2312" w:eastAsia="仿宋_GB2312" w:cs="仿宋_GB2312"/>
          <w:sz w:val="24"/>
          <w:szCs w:val="24"/>
          <w:lang w:val="en-US" w:eastAsia="zh-CN"/>
        </w:rPr>
        <w:t>，有限的升学通道使家庭间的教育竞争持续加剧。在这一背景下，问题已不再是家庭是否重视教育，而是教育竞争是通过何种社会关系被放大和传导的。</w:t>
      </w:r>
    </w:p>
    <w:p w14:paraId="70DD12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24"/>
          <w:lang w:val="en-US" w:eastAsia="zh-CN"/>
        </w:rPr>
      </w:pPr>
    </w:p>
    <w:p w14:paraId="6D4A2D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现代化进程进一步改变了宗族参与教育事务的方式。一方面，城市化与人口流动使不少家庭与宗族成员长期分居，传统以聚居为基础的宗族日常互动明显减少；另一方面，核心家庭经济独立性的提升以及社会保障体系的完善，使家庭在生存层面上对宗族资源的依赖程度下降。但宗族关系并未因此退出教育场域，而是以更为隐性的方式继续发挥作用。相较于以往通过集中资助、族学供给等形式直接支持子弟求学，当代南方宗族更多通过亲属间的比较、评价与象征性认同介入学业过程。亲戚间围绕成绩、升学路径展开的攀比，使学业成就逐渐演变为宗族内部区分位置与维系声望的重要标准。</w:t>
      </w:r>
    </w:p>
    <w:p w14:paraId="22501B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24"/>
          <w:lang w:val="en-US" w:eastAsia="zh-CN"/>
        </w:rPr>
      </w:pPr>
    </w:p>
    <w:p w14:paraId="5BB5F48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由此可见，当代南方地区并非出现了宗族的彻底式微，而是经历着宗族功能在教育领域中的转型：从显性的资源供给者，转向隐性的竞争情境建构者。正因如此，考察宗族关系如何参与并塑造学业竞争，成为理解当代南方家庭教育行为及其社会后果的重要切入点。</w:t>
      </w:r>
    </w:p>
    <w:p w14:paraId="67892D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24"/>
          <w:lang w:val="en-US" w:eastAsia="zh-CN"/>
        </w:rPr>
      </w:pPr>
    </w:p>
    <w:p w14:paraId="4C0D69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24"/>
          <w:lang w:val="en-US" w:eastAsia="zh-CN"/>
        </w:rPr>
      </w:pPr>
    </w:p>
    <w:p w14:paraId="464BECFA">
      <w:pPr>
        <w:rPr>
          <w:rFonts w:hint="eastAsia"/>
          <w:lang w:val="en-US" w:eastAsia="zh-CN"/>
        </w:rPr>
      </w:pPr>
      <w:r>
        <w:rPr>
          <w:rFonts w:hint="eastAsia"/>
          <w:lang w:val="en-US" w:eastAsia="zh-CN"/>
        </w:rPr>
        <w:t>（二）核心概念界定</w:t>
      </w:r>
    </w:p>
    <w:p w14:paraId="0CBD18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6C18143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首先，“宗族”并非单纯的血缘群体，而是在教育、经济、社会管理等领域发挥重要的组织作用的社群形态</w:t>
      </w:r>
      <w:r>
        <w:rPr>
          <w:rStyle w:val="10"/>
          <w:rFonts w:hint="eastAsia" w:ascii="仿宋_GB2312" w:hAnsi="仿宋_GB2312" w:eastAsia="仿宋_GB2312" w:cs="仿宋_GB2312"/>
          <w:b w:val="0"/>
          <w:bCs w:val="0"/>
          <w:sz w:val="24"/>
          <w:szCs w:val="24"/>
          <w:highlight w:val="none"/>
          <w:lang w:val="en-US" w:eastAsia="zh-CN"/>
        </w:rPr>
        <w:footnoteReference w:id="2"/>
      </w:r>
      <w:r>
        <w:rPr>
          <w:rFonts w:hint="eastAsia" w:ascii="仿宋_GB2312" w:hAnsi="仿宋_GB2312" w:eastAsia="仿宋_GB2312" w:cs="仿宋_GB2312"/>
          <w:b w:val="0"/>
          <w:bCs w:val="0"/>
          <w:sz w:val="24"/>
          <w:szCs w:val="24"/>
          <w:highlight w:val="none"/>
          <w:lang w:val="en-US" w:eastAsia="zh-CN"/>
        </w:rPr>
        <w:t>。</w:t>
      </w:r>
    </w:p>
    <w:p w14:paraId="1B42988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221FF0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其次，“南方宗族”特指以祠堂、家谱及县级层面家谱密度为核心标志的中国南方宗族形态，相较于北方地区，其组织凝聚力更发达，对区域内教育资源整合与人力资本投资的促进作用更全面且持续，是本文的核心研究对象。</w:t>
      </w:r>
    </w:p>
    <w:p w14:paraId="68F56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5CB85B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在本文中，“宗族关系”主要指由父母、祖辈及父辈同胞等成员构成的亲属网络。这一网络不仅具有规模差异，也在社会经济地位与文化资本等方面存在显著分化。相关研究常将亲属网络资源区分为规模资源、社会经济资源与文化资源三类，本文亦沿用这一分类方式，将宗族关系视为学业竞争得以嵌入和展开的重要社会联结单元。</w:t>
      </w:r>
    </w:p>
    <w:p w14:paraId="78658BB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580E7A1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在既有研究中，宗族与学业关系往往通过“同胞竞争效应”这一经验现象得到体现。所谓“同胞竞争效应”，是指在同一家庭或亲属网络内部，不同子女的性别结构、出生顺序与年龄差距等因素，会影响其所能获得的教育投入与教育结果。本文在此仅将其作为一种已有研究反复验证的经验概括，而非直接采用某一特定理论模型对其成因进行解释，其具体机制将在后续文献综述与分析中进一步讨论。</w:t>
      </w:r>
    </w:p>
    <w:p w14:paraId="175135A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7D43F2F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需要指出的是，当代南方宗族已呈现出多样化的发展形态。就家庭层面而言，传统意义上的宗族聚居逐渐被核心家庭所取代，扩展家庭多基于情感支持或养老需求形成；在组织层面，则出现了以宗亲会、姓氏文化研究会为代表的现代宗亲组织。这些形态已不具备宗法权威，其功能更多体现在情感联络与象征性认同之中。上述区分主要用于帮助理解当代宗族关系的现实存在方式，而非价值判断。</w:t>
      </w:r>
    </w:p>
    <w:p w14:paraId="2B48B48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350C800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此外，近年来学界提出的“断亲”现象，指部分年轻人主动减少与近亲宗族成员的互动频率，在情感与心理层面拉大亲属关系距离的状态。该现象并不等同于血缘关系的正式断裂，而是一种“关系弱化”的表现。本文将其视为理解当代宗族关系变迁的重要社会背景因素之一。</w:t>
      </w:r>
    </w:p>
    <w:p w14:paraId="6B9BAF4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6782A69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基于以上界定，本文所使用的“宗族关系中的学业竞争”，是指学业成就及其比较过程如何在宗族亲属网络中被赋予意义、并影响家庭教育决策与个体学业选择的社会现象。为行文简便，后文亦将其简称为“宗族学业竞争”。</w:t>
      </w:r>
    </w:p>
    <w:p w14:paraId="4ECEDC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314958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6B21E4DB">
      <w:pPr>
        <w:numPr>
          <w:ilvl w:val="0"/>
          <w:numId w:val="0"/>
        </w:numPr>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（三）研究思路与方法</w:t>
      </w:r>
    </w:p>
    <w:p w14:paraId="411DA37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146D9B4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本文关注的是当代南方地区宗族关系在学业竞争中的作用方式。由于这一问题本身涉及宗族、亲属网络与家庭教育等多个层面，且很难通过单一指标进行直接衡量，因此本文并未尝试自行开展实证分析，而是选择以文献研究的方法展开讨论。</w:t>
      </w:r>
    </w:p>
    <w:p w14:paraId="2304882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40AF86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在研究思路上，我主要是从既有研究对宗族与亲属网络的界定出发，关注这些关系如何进入家庭的学业决策过程。相关研究中，有的会通过家谱密度、宗族发育程度等指标来讨论宗族的现实影响，也有的会从亲属网络内部的结构差异入手，分析不同家庭在教育投入和教育结果上的分化。本文并不对这些研究进行重复验证，而是借助其分析视角，理解宗族关系在学业竞争中可能发挥作用的方式。</w:t>
      </w:r>
    </w:p>
    <w:p w14:paraId="3204E37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4DEBE22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在具体方法上，本文主要通过对相关文献的对比阅读来推进论证。一方面，将不同研究中关于宗族关系、亲属网络与学业表现之间关系的讨论进行整理，观察其在研究结论和解释路径上的共通之处；另一方面，也会对这些研究中涉及学业竞争的解释方式进行比较，例如对子女性别结构、出生顺序或年龄差距等因素的不同处理，从而更清楚地看出宗族关系是如何嵌入学业竞争过程的。</w:t>
      </w:r>
    </w:p>
    <w:p w14:paraId="0B67BC0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425C4D2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此外，在阅读和整理文献的过程中，本文也参考了相关实证研究的分析思路，例如在讨论学业结果时如何区分家庭背景因素与个体差异因素。这并不意味着本文将展开新的统计分析，而是为了在分析宗族学业竞争时，尽量避免脱离既有研究中已经形成的基本判断。</w:t>
      </w:r>
    </w:p>
    <w:p w14:paraId="3F0ABA8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55ED900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通过上述研究思路与方法，</w:t>
      </w:r>
      <w:r>
        <w:rPr>
          <w:rFonts w:hint="eastAsia" w:ascii="仿宋_GB2312" w:hAnsi="仿宋_GB2312" w:eastAsia="仿宋_GB2312" w:cs="仿宋_GB2312"/>
          <w:b w:val="0"/>
          <w:bCs w:val="0"/>
          <w:sz w:val="24"/>
          <w:szCs w:val="24"/>
          <w:highlight w:val="none"/>
          <w:lang w:val="en-US" w:eastAsia="zh-CN"/>
        </w:rPr>
        <w:t>我</w:t>
      </w:r>
      <w:r>
        <w:rPr>
          <w:rFonts w:hint="default" w:ascii="仿宋_GB2312" w:hAnsi="仿宋_GB2312" w:eastAsia="仿宋_GB2312" w:cs="仿宋_GB2312"/>
          <w:b w:val="0"/>
          <w:bCs w:val="0"/>
          <w:sz w:val="24"/>
          <w:szCs w:val="24"/>
          <w:highlight w:val="none"/>
          <w:lang w:val="en-US" w:eastAsia="zh-CN"/>
        </w:rPr>
        <w:t>希望在已有研究的基础上，对当代南方地区宗族关系与学业竞争之间的关系进行较为清晰的梳理。</w:t>
      </w:r>
    </w:p>
    <w:p w14:paraId="252A2FE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39F5A9C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2C58AC72">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sz w:val="24"/>
          <w:szCs w:val="24"/>
          <w:highlight w:val="none"/>
          <w:lang w:val="en-US" w:eastAsia="zh-CN"/>
        </w:rPr>
      </w:pPr>
      <w:r>
        <w:rPr>
          <w:rFonts w:hint="eastAsia" w:asciiTheme="majorEastAsia" w:hAnsiTheme="majorEastAsia" w:eastAsiaTheme="majorEastAsia" w:cstheme="majorEastAsia"/>
          <w:b/>
          <w:bCs/>
          <w:sz w:val="24"/>
          <w:szCs w:val="24"/>
          <w:highlight w:val="none"/>
          <w:lang w:val="en-US" w:eastAsia="zh-CN"/>
        </w:rPr>
        <w:t>二、文献综述</w:t>
      </w:r>
    </w:p>
    <w:p w14:paraId="0EE8D31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72B3621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宗族学业竞争，植根于历史传统并随社会变迁不断演化。既有研究围绕历史脉络、当代实践与作用机制形成了丰富积累，为理解宗族关系如何塑造学业竞争提供了多元视角。</w:t>
      </w:r>
    </w:p>
    <w:p w14:paraId="22F30F3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572841C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南方宗族与教育的深度绑定有着悠久历史根基。《清代徽州宗族对人才培养的重视及其影响》揭示，清代徽州宗族并非单纯的血缘群体，而是兼具教育、经济功能的社会组织，通过倡导劝学理念、保障教育资源供给、激励升学等系统性措施，构建了“教育－人才－经济－文化”的良性循环，既营造了区域好学风气，也强化了宗族凝聚力。这类研究聚焦传统宗族通过族规家法、族学供给等形式推动教育发展的实践，核心价值在于为理解当代宗族与教育的关联提供文化背景，而非直接解释当代学业竞争的具体形态，其“崇儒重教”的历史惯性成为当代宗族学业互动的重要文化底色。</w:t>
      </w:r>
    </w:p>
    <w:p w14:paraId="44DD771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7FAE58D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进入当代语境，宗族对学业的影响不再局限于传统的资源供给模式，而是通过更广泛的亲属网络渗透到教育过程中。《亲属网络视角下的儿童学业成就：影响机制与阶层差异》打破了“仅父母影响子女学业”的固有认知，将研究视野扩展到祖辈、父辈同胞组成的宗族亲属网络，提出祖辈的“社会支持机制”（日常照料、经济帮扶、人脉联结强化）与父辈同胞的“价值观形塑机制”（传递“教育改变命运”理念、提升学业期望）两大直接作用路径。同时，该研究指出这种影响存在显著阶层差异：对低阶层家庭而言，宗族亲属资源能有效弥补育儿不足、削弱“反学校”文化影响；而高阶层家庭因自身资源充足，宗族提供的教育支持与他们自身拥有的资源高度重叠，难以产生新的价值增量，这使得宗族的作用呈现 “天花板效应”，无法对子女学业表现形成突破性助力。</w:t>
      </w:r>
    </w:p>
    <w:p w14:paraId="7B8F098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222AAF0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聚焦地域差异的实证研究进一步佐证了南方宗族的独特影响。梁若冰、任伟聪在《宗族组织、信贷约束与农村人力资本积累：基于“大学扩招”的实证研究》中，以县级家谱密度衡量宗族发达程度，发现1999年大学扩招后，南方宗族发达地区的高中、大学入学率提升更为全面且持续，而北方宗族仅对高中入学率有正向作用，这与宗族“南盛于北”的地域分布特征高度契合。《宗族对农村人力资本投资的影响分析》则验证了其核心作用机制：宗族依托血缘纽带形成的非正式借贷体系，能有效缓解家庭教育信贷约束，同时通过“光宗耀祖”的观念提升教育投入意愿。这些研究共同说明，教育并非家庭内部的封闭决策，而是嵌入在宗族的社会比较结构中，通过“比较—示范—攀比”的传导逻辑，使学业竞争突破家庭边界，成为宗族网络中的显性互动内容。</w:t>
      </w:r>
    </w:p>
    <w:p w14:paraId="7D2CA4F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7638E55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此外，《Living with grandparents-Multi-generational families and the academic performance of grandchildren in China》对“核心家庭已取代扩展家庭”的结论进行反思，指出三代共居家庭的核心动因是满足家庭功能需求，祖辈在特定家庭情境中（母亲外出务工、父亲职业阶层较低、单亲家庭等）承担托养或代行家长职责，能通过内部社会资本（一致的教育期望、良好的亲子互动）与外部社会资本（和谐的同学关系、较高的学校融入度），将有限资源高效转化为人力资本。这种“群体异质性补偿效应”在低收入群体中表现尤为突出，使这类家庭能更深入地参与学业竞争，进一步印证了当代宗族亲属网络对学业成就的多元影响。</w:t>
      </w:r>
    </w:p>
    <w:p w14:paraId="2B5A0B2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5C26BA5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宗族场域中的学业竞争并非抽象的文化现象，而是通过具体的资源分配与象征互动得以实现的。《中国农村子女教育同胞竞争效应研究》提出的“资源配置论”“资源集中论”，清晰阐释了竞争的核心逻辑：在家庭资源有限且宗族重男轻女观念影响下，教育投入会向特定子女倾斜，进而加剧同胞间的学业竞争——男孩若有姐妹或年龄差距大的哥哥，更易获得教育资源；女孩若有兄弟，则可能面临教育机会被牺牲的情况。这种竞争强度在低收入、父母受教育水平低的宗族家庭中更为显著。</w:t>
      </w:r>
    </w:p>
    <w:p w14:paraId="15A4210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50D5911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符号互动论的“情境定义”则为理解这一机制提供了另一重视角：宗族成员并非直接对彼此行为作出反应，而是通过互动赋予“学业成功”“宗族脸面”特定意义，再通过内在阐释决定行动选择。亲属间的学业攀比、对“光宗耀祖”的价值认同，会促使家庭集中资源投入“更有希望”的孩子，使宗族场域中的学业竞争既保留了传统血缘联结的情感底色，又融入了现代资源分配的理性算计。这种机制不仅体现为同胞间的直接竞争，更通过宗族网络的放大效应，将个体学业成就转化为宗族内部区分社会位置、维系群体声望的重要标准。</w:t>
      </w:r>
    </w:p>
    <w:p w14:paraId="650112B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6D813D7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167EDB78">
      <w:pPr>
        <w:rPr>
          <w:rFonts w:hint="eastAsia" w:asciiTheme="majorEastAsia" w:hAnsiTheme="majorEastAsia" w:eastAsiaTheme="majorEastAsia" w:cstheme="majorEastAsia"/>
          <w:b w:val="0"/>
          <w:bCs w:val="0"/>
          <w:sz w:val="24"/>
          <w:szCs w:val="24"/>
          <w:highlight w:val="none"/>
          <w:lang w:val="en-US" w:eastAsia="zh-CN"/>
        </w:rPr>
      </w:pPr>
      <w:r>
        <w:rPr>
          <w:rFonts w:hint="eastAsia" w:asciiTheme="majorEastAsia" w:hAnsiTheme="majorEastAsia" w:eastAsiaTheme="majorEastAsia" w:cstheme="majorEastAsia"/>
          <w:b/>
          <w:bCs/>
          <w:sz w:val="24"/>
          <w:szCs w:val="24"/>
          <w:highlight w:val="none"/>
          <w:lang w:val="en-US" w:eastAsia="zh-CN"/>
        </w:rPr>
        <w:t>三、现实表现</w:t>
      </w:r>
    </w:p>
    <w:p w14:paraId="53608A9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2DCA086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在当代南方地区，内卷化的学业竞争早已悄然重塑了宗族亲属间的互动模式。不少青少年的休闲时间被刷题、补课填满，日常交往圈基本围绕同学展开，家长们也更倾向于构建“同学家长互助圈”，原本走亲访友的宗族互动空间被大幅挤压。就像《青年“断亲”：何以发生？何去何从？（胡小武-南京大学）》中观察到的那样，学业竞争成了宗族交往“淡味”的重要推手。</w:t>
      </w:r>
    </w:p>
    <w:p w14:paraId="69E5E73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27F5EB9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这种竞争也渗透进了宗族亲属网络的日常里。南方宗族中，祖辈人数越多，能给孩子提供的日常照料、情感陪伴就越充足，甚至能帮着分担育儿压力；而那些受教育程度高、有向上流动经历的叔伯姑姨，会不自觉地向晚辈传递“读书改变命运”的价值观，这在无形中让同辈亲属间形成了暗自较劲的学业氛围。正如一位户籍江苏南通的华中科技大学本科生</w:t>
      </w:r>
      <w:r>
        <w:rPr>
          <w:rStyle w:val="10"/>
          <w:rFonts w:hint="eastAsia" w:ascii="仿宋_GB2312" w:hAnsi="仿宋_GB2312" w:eastAsia="仿宋_GB2312" w:cs="仿宋_GB2312"/>
          <w:b w:val="0"/>
          <w:bCs w:val="0"/>
          <w:sz w:val="24"/>
          <w:szCs w:val="24"/>
          <w:highlight w:val="none"/>
          <w:lang w:val="en-US" w:eastAsia="zh-CN"/>
        </w:rPr>
        <w:footnoteReference w:id="3"/>
      </w:r>
      <w:r>
        <w:rPr>
          <w:rFonts w:hint="eastAsia" w:ascii="仿宋_GB2312" w:hAnsi="仿宋_GB2312" w:eastAsia="仿宋_GB2312" w:cs="仿宋_GB2312"/>
          <w:b w:val="0"/>
          <w:bCs w:val="0"/>
          <w:sz w:val="24"/>
          <w:szCs w:val="24"/>
          <w:highlight w:val="none"/>
          <w:lang w:val="en-US" w:eastAsia="zh-CN"/>
        </w:rPr>
        <w:t>所述，自家同姓宗族的大家族群中，只要谈及子女学业，亲属间的交流便带有明显的隐性比较色彩——部分成员通过主动分享成绩、升学进展彰显优势，也有人通过旁敲侧击的方式打探他人情况，以调整自家的教育投入策略。这一案例直观呈现了宗族亲属网络中的横向比较压力，印证了前文所述“亲属网络既会提供学业支持，也会催生同辈竞争”的研究结论，宗族互动中的温情常被这种隐性竞争的微妙张力所冲淡。</w:t>
      </w:r>
    </w:p>
    <w:p w14:paraId="1D40536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59DA716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宗族组织对学业的支持，同样带着竞争的底色。在南方有祠堂、家谱的宗族村庄里，个人受教育年限平均能提高1.3年，考虑内生性因素后这一幅度甚至能达到3.8年</w:t>
      </w:r>
      <w:r>
        <w:rPr>
          <w:rStyle w:val="10"/>
          <w:rFonts w:hint="eastAsia" w:ascii="仿宋_GB2312" w:hAnsi="仿宋_GB2312" w:eastAsia="仿宋_GB2312" w:cs="仿宋_GB2312"/>
          <w:b w:val="0"/>
          <w:bCs w:val="0"/>
          <w:sz w:val="24"/>
          <w:szCs w:val="24"/>
          <w:highlight w:val="none"/>
          <w:lang w:val="en-US" w:eastAsia="zh-CN"/>
        </w:rPr>
        <w:footnoteReference w:id="4"/>
      </w:r>
      <w:r>
        <w:rPr>
          <w:rFonts w:hint="eastAsia" w:ascii="仿宋_GB2312" w:hAnsi="仿宋_GB2312" w:eastAsia="仿宋_GB2312" w:cs="仿宋_GB2312"/>
          <w:b w:val="0"/>
          <w:bCs w:val="0"/>
          <w:sz w:val="24"/>
          <w:szCs w:val="24"/>
          <w:highlight w:val="none"/>
          <w:lang w:val="en-US" w:eastAsia="zh-CN"/>
        </w:rPr>
        <w:t>；但这种支持存在明显的性别倾斜——男性受教育年限可提高约1.6年，女性却几乎不受影响，隐约透出宗族“延续香火”观念下的资源偏向。1999年大学扩招后，南方宗族发达地区的高中、大学入学率提升得更显著，这背后其实是宗族基于血缘的非正式借贷，帮家庭缓解了教育资金压力。而在农村宗族多子女家庭中，学业竞争更直接：男孩有姐妹或年龄差距大的哥哥，往往更易获得教育资源；女孩若有兄弟，则可能面临资源被分流的情况，且这种竞争在低收入、父母受教育水平低的宗族家庭里会更激烈。</w:t>
      </w:r>
    </w:p>
    <w:p w14:paraId="71832EF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590D315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三代共居的宗族家庭里，学业竞争与资源补偿是并存的。《Living with grandparents - Multi-generational families and the academic performance of grandchildren in China》的研究显示，这类家庭的青少年学业表现普遍更好，尤其能弥补低收入、单亲家庭的资源不足；但同辈亲属间的学业比拼也更突出。2025年7月福建安溪的“詹舒雯事件”便是具有象征性的案例：以692分考入北大的女孩詹舒雯，让家族打破了数百年“女性不得入祠”的传统，不仅获得12万元家族奖学金，名字还被描金贴进祠堂功名榜。需要明确的是，该事件并非南方宗族的普遍实践，而是具有特定性的象征性案例，其核心价值在于集中体现了部分宗族将学业成就与宗族荣耀深度绑定的价值取向——既彰显了对“学业优胜者”的极致认可，也暗含着对其他晚辈的竞争激励。如今南方不少宗族仍保留着奖学习俗，比如丰州黄氏已募集100万元奖学资金，学业成绩依旧是宗族内部“光宗耀祖”的重要标准。</w:t>
      </w:r>
    </w:p>
    <w:p w14:paraId="109F94F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528EBFD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1754C33E">
      <w:pPr>
        <w:rPr>
          <w:rFonts w:hint="eastAsia" w:asciiTheme="majorEastAsia" w:hAnsiTheme="majorEastAsia" w:eastAsiaTheme="majorEastAsia" w:cstheme="majorEastAsia"/>
          <w:b w:val="0"/>
          <w:bCs w:val="0"/>
          <w:sz w:val="24"/>
          <w:szCs w:val="24"/>
          <w:highlight w:val="none"/>
          <w:lang w:val="en-US" w:eastAsia="zh-CN"/>
        </w:rPr>
      </w:pPr>
      <w:r>
        <w:rPr>
          <w:rFonts w:hint="eastAsia" w:asciiTheme="majorEastAsia" w:hAnsiTheme="majorEastAsia" w:eastAsiaTheme="majorEastAsia" w:cstheme="majorEastAsia"/>
          <w:b/>
          <w:bCs/>
          <w:sz w:val="24"/>
          <w:szCs w:val="24"/>
          <w:highlight w:val="none"/>
          <w:lang w:val="en-US" w:eastAsia="zh-CN"/>
        </w:rPr>
        <w:t>四、形成机制</w:t>
      </w:r>
    </w:p>
    <w:p w14:paraId="4227A17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694896E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从宏观社会变迁来看，内卷化的教育环境、城市化带来的人口流动、核心家庭经济独立与社保体系完善，以及互联网催生的个体化生活方式，共同促成了宗族传统紧密联结的弱化，宗族互动逐渐从高频日常往来转向低频情感联结。但值得追问的是，为何在这种弱联结状态下，宗族仍能深度参与并塑造学业竞争？核心在于宗族“崇儒重教”的文化惯性与“光宗耀祖”的价值导向未变，学业成就依旧是宗族成员实现身份认同与群体声望的重要载体，这使得宗族即便在互动减少的情况下，仍能通过隐性方式制造竞争压力。</w:t>
      </w:r>
    </w:p>
    <w:p w14:paraId="5FD8B4D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0E0AE6A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尽管宗族传统功能有所弱化，但由祖辈与父辈同胞构成的同辈宗族亲缘圈，仍可通过两大机制促成学业竞争：</w:t>
      </w:r>
    </w:p>
    <w:p w14:paraId="4DB2B7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6E50285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1. 社会支持机制：资源补充与网络强化</w:t>
      </w:r>
    </w:p>
    <w:p w14:paraId="3219AE2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祖辈人数越多，越能为孙辈提供多元支持——既包括日常照料、情感陪伴与经济帮扶，缓解父母育儿压力，也能借助祖辈在宗族网络中的“曝光效应”，强化族内人脉联结，优化孩子的教育资源分配。这种支持并非直接介入学业过程，而是通过降低家庭教育成本、拓宽资源获取渠道，间接提升家庭参与学业竞争的能力。</w:t>
      </w:r>
    </w:p>
    <w:p w14:paraId="74F6564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2CBDF49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2. 价值观塑造机制：期望传递与竞争意识唤醒</w:t>
      </w:r>
    </w:p>
    <w:p w14:paraId="236768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宗族长辈中，那些完成向上流动、接受过高等教育的成员（如叔公、姑姨等），会通过宗族互动向晚辈传递“教育改变命运”的价值导向，逐步提升晚辈的教育期望值与学业竞争意识。这种价值观的传递并非刻意说教，而是融入亲属间的日常交流与经验分享，形成潜移默化的影响。</w:t>
      </w:r>
    </w:p>
    <w:p w14:paraId="6435B31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5C765B7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这一影响存在明显的阶层差异：对于较低阶层家庭而言，父母在家庭教育与陪伴上的投入有限，宗族亲属网络的资源补充作用更为突出，能有效削弱“反学校”文化的影响；而高阶层家庭本身资源储备充足，宗族补充性支持难以产生显著增益，易出现“天花板效应”。</w:t>
      </w:r>
    </w:p>
    <w:p w14:paraId="63F123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7DFA162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除了亲缘圈的微观作用，宗族组织也从两个层面推动学业竞争的发展：</w:t>
      </w:r>
    </w:p>
    <w:p w14:paraId="039FF24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一是学业成就的“光宗耀祖”导向。在传统观念的延续下，族人仍将晚辈学业有成视作宗族集体荣耀，这种价值绑定让学业竞争超越了家庭私人领域，成为具有社会影响力的宗族事件。</w:t>
      </w:r>
    </w:p>
    <w:p w14:paraId="25E4F6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二是宗族社会资本的资源支持。宗族网络依托亲情信任形成的互惠机制，能为有教育资金需求的家庭缓解信贷约束，解决学费筹集等实际问题。这一作用在南方表现尤为显著——南方宗族发育程度更高，不仅能推动高中入学率较早提升，也能促进大学入学率的持续增长，进而增加个体总教育年数。</w:t>
      </w:r>
    </w:p>
    <w:p w14:paraId="42A3C7B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58A46F4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需注意的是，这种支持并非平等覆盖宗族内所有成员：受“延续香火”传统观念影响，男性往往能获得更多求学支持，其受教育年限约多增加1.6年</w:t>
      </w:r>
      <w:r>
        <w:rPr>
          <w:rStyle w:val="10"/>
          <w:rFonts w:hint="eastAsia" w:ascii="仿宋_GB2312" w:hAnsi="仿宋_GB2312" w:eastAsia="仿宋_GB2312" w:cs="仿宋_GB2312"/>
          <w:b w:val="0"/>
          <w:bCs w:val="0"/>
          <w:sz w:val="24"/>
          <w:szCs w:val="24"/>
          <w:highlight w:val="none"/>
          <w:lang w:val="en-US" w:eastAsia="zh-CN"/>
        </w:rPr>
        <w:footnoteReference w:id="5"/>
      </w:r>
      <w:r>
        <w:rPr>
          <w:rFonts w:hint="eastAsia" w:ascii="仿宋_GB2312" w:hAnsi="仿宋_GB2312" w:eastAsia="仿宋_GB2312" w:cs="仿宋_GB2312"/>
          <w:b w:val="0"/>
          <w:bCs w:val="0"/>
          <w:sz w:val="24"/>
          <w:szCs w:val="24"/>
          <w:highlight w:val="none"/>
          <w:lang w:val="en-US" w:eastAsia="zh-CN"/>
        </w:rPr>
        <w:t>，女性所获支持则相对有限，这种资源倾斜也间接加剧了宗族内部的学业竞争。</w:t>
      </w:r>
    </w:p>
    <w:p w14:paraId="558D192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0FB69B1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409D8156">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ajorEastAsia" w:hAnsiTheme="majorEastAsia" w:eastAsiaTheme="majorEastAsia" w:cstheme="majorEastAsia"/>
          <w:b w:val="0"/>
          <w:bCs w:val="0"/>
          <w:sz w:val="24"/>
          <w:szCs w:val="24"/>
          <w:highlight w:val="none"/>
          <w:lang w:val="en-US" w:eastAsia="zh-CN"/>
        </w:rPr>
      </w:pPr>
      <w:r>
        <w:rPr>
          <w:rFonts w:hint="eastAsia" w:asciiTheme="majorEastAsia" w:hAnsiTheme="majorEastAsia" w:eastAsiaTheme="majorEastAsia" w:cstheme="majorEastAsia"/>
          <w:b/>
          <w:bCs/>
          <w:sz w:val="24"/>
          <w:szCs w:val="24"/>
          <w:highlight w:val="none"/>
          <w:lang w:val="en-US" w:eastAsia="zh-CN"/>
        </w:rPr>
        <w:t>五、学业竞争下的宗亲</w:t>
      </w:r>
    </w:p>
    <w:p w14:paraId="5BF9CC8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1A20CBF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当代南方地区的宗族关系早已脱离了传统的紧密联结状态，正经历着明显的现代重构。传统家族主义逐渐让位于个体化的生活理念，人们不再将大家族的整体利益置于首位，核心家庭成为主流的生活单元，宗族原本的互助功能也随之弱化——毕竟在社保、医保体系日趋完善的当下，家庭已不必依赖亲戚网络获取生存或发展资源。城市化带来的大规模人口流动更是加剧了这一变化：南方地区跨省市迁移的人口不在少数，“00后”群体的父母与兄弟姐妹往往分散在不同城市，这代年轻人从小就缺乏与亲戚深度接触的机会，血缘纽带的联结自然愈发松弛。更关键的是，在学业竞争愈发激烈的环境里，学缘关系逐渐替代了血缘关系的重要性：青少年的日常交往围绕同学展开，家长也更倾向于构建同学家长的社交圈，走亲访友的空间被学业压力大幅挤压。</w:t>
      </w:r>
    </w:p>
    <w:p w14:paraId="70BB84B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6997E11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这种宗族关系的重构，也让深陷学业竞争的青年群体陷入了特殊的困境。亲戚间的“嘘寒问暖”常常变味成隐性的学业攀比。谁家孩子的分数更高、谁进了更好的学校，成了聚会中绕不开的话题，甚至还有长辈会以“为你好”的名义，对小辈的学习计划或发展选择指手画脚。而正被内卷裹挟的年轻人，本就被学业占满了休闲时间，周末要么补课要么刷题，好不容易有空只想放松，根本没精力维系这种缺乏边界感的亲属互动；一旦反驳这些“关心”，又会被贴上“不懂礼貌”的标签，久而久之便与亲戚形成了沟通屏障，不少人甚至患上了“春节焦虑症”“过节恐惧症”，生怕假期变成一场围绕学业的“审判现场”。</w:t>
      </w:r>
    </w:p>
    <w:p w14:paraId="0CF5FFA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0752084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互联网时代的生活方式，进一步放大了这种困境。“00后”年轻人的学习、娱乐、社交多通过网络完成，现实交往愈发个体化、原子化，“走亲戚”这种传统社交对他们而言，既耗时费力又缺乏情绪价值。比起应付亲戚的“查户口式盘问”，和志趣相投的同学、朋友相处显然更能获得舒适感。数据也印证了这一趋势：63%的未成年人不会主动联系亲戚，18至25岁青年中经常与亲戚往来的比例仅为22.79%</w:t>
      </w:r>
      <w:r>
        <w:rPr>
          <w:rStyle w:val="10"/>
          <w:rFonts w:hint="eastAsia" w:ascii="仿宋_GB2312" w:hAnsi="仿宋_GB2312" w:eastAsia="仿宋_GB2312" w:cs="仿宋_GB2312"/>
          <w:b w:val="0"/>
          <w:bCs w:val="0"/>
          <w:sz w:val="24"/>
          <w:szCs w:val="24"/>
          <w:highlight w:val="none"/>
          <w:lang w:val="en-US" w:eastAsia="zh-CN"/>
        </w:rPr>
        <w:footnoteReference w:id="6"/>
      </w:r>
      <w:r>
        <w:rPr>
          <w:rFonts w:hint="eastAsia" w:ascii="仿宋_GB2312" w:hAnsi="仿宋_GB2312" w:eastAsia="仿宋_GB2312" w:cs="仿宋_GB2312"/>
          <w:b w:val="0"/>
          <w:bCs w:val="0"/>
          <w:sz w:val="24"/>
          <w:szCs w:val="24"/>
          <w:highlight w:val="none"/>
          <w:lang w:val="en-US" w:eastAsia="zh-CN"/>
        </w:rPr>
        <w:t>。但即便亲缘关系已然淡化，学业竞争仍是亲戚聚会中无法回避的话题，这种“断而未绝”的宗族关系，最终成了许多年轻人额外的精神负担。</w:t>
      </w:r>
    </w:p>
    <w:p w14:paraId="198D9075">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drawing>
          <wp:inline distT="0" distB="0" distL="114300" distR="114300">
            <wp:extent cx="5265420" cy="2145665"/>
            <wp:effectExtent l="0" t="0" r="5080" b="635"/>
            <wp:docPr id="2" name="图片 2" descr="“断亲”现象的具体调查比例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断亲”现象的具体调查比例数据"/>
                    <pic:cNvPicPr>
                      <a:picLocks noChangeAspect="1"/>
                    </pic:cNvPicPr>
                  </pic:nvPicPr>
                  <pic:blipFill>
                    <a:blip r:embed="rId7"/>
                    <a:stretch>
                      <a:fillRect/>
                    </a:stretch>
                  </pic:blipFill>
                  <pic:spPr>
                    <a:xfrm>
                      <a:off x="0" y="0"/>
                      <a:ext cx="5265420" cy="2145665"/>
                    </a:xfrm>
                    <a:prstGeom prst="rect">
                      <a:avLst/>
                    </a:prstGeom>
                  </pic:spPr>
                </pic:pic>
              </a:graphicData>
            </a:graphic>
          </wp:inline>
        </w:drawing>
      </w:r>
    </w:p>
    <w:p w14:paraId="2E38039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center"/>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图1  “断亲”现象的具体调查比例数据</w:t>
      </w:r>
    </w:p>
    <w:p w14:paraId="653345C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center"/>
        <w:textAlignment w:val="auto"/>
        <w:rPr>
          <w:rFonts w:hint="eastAsia" w:ascii="仿宋_GB2312" w:hAnsi="仿宋_GB2312" w:eastAsia="仿宋_GB2312" w:cs="仿宋_GB2312"/>
          <w:b w:val="0"/>
          <w:bCs w:val="0"/>
          <w:sz w:val="24"/>
          <w:szCs w:val="24"/>
          <w:highlight w:val="none"/>
          <w:lang w:val="en-US" w:eastAsia="zh-CN"/>
        </w:rPr>
      </w:pPr>
      <w:bookmarkStart w:id="0" w:name="_GoBack"/>
      <w:bookmarkEnd w:id="0"/>
      <w:r>
        <w:rPr>
          <w:rFonts w:hint="eastAsia" w:ascii="仿宋_GB2312" w:hAnsi="仿宋_GB2312" w:eastAsia="仿宋_GB2312" w:cs="仿宋_GB2312"/>
          <w:b w:val="0"/>
          <w:bCs w:val="0"/>
          <w:sz w:val="24"/>
          <w:szCs w:val="24"/>
          <w:highlight w:val="none"/>
          <w:lang w:val="en-US" w:eastAsia="zh-CN"/>
        </w:rPr>
        <w:t>来源《青年“断亲”：何以发生？何去何从？》，胡小武，南京大学</w:t>
      </w:r>
    </w:p>
    <w:p w14:paraId="1334971A">
      <w:pPr>
        <w:rPr>
          <w:rFonts w:hint="eastAsia" w:asciiTheme="majorEastAsia" w:hAnsiTheme="majorEastAsia" w:eastAsiaTheme="majorEastAsia" w:cstheme="majorEastAsia"/>
          <w:b/>
          <w:bCs/>
          <w:sz w:val="24"/>
          <w:szCs w:val="24"/>
          <w:highlight w:val="none"/>
          <w:lang w:val="en-US" w:eastAsia="zh-CN"/>
        </w:rPr>
      </w:pPr>
    </w:p>
    <w:p w14:paraId="4CDCB1A6">
      <w:pPr>
        <w:rPr>
          <w:rFonts w:hint="eastAsia" w:asciiTheme="majorEastAsia" w:hAnsiTheme="majorEastAsia" w:eastAsiaTheme="majorEastAsia" w:cstheme="majorEastAsia"/>
          <w:b/>
          <w:bCs/>
          <w:sz w:val="24"/>
          <w:szCs w:val="24"/>
          <w:highlight w:val="none"/>
          <w:lang w:val="en-US" w:eastAsia="zh-CN"/>
        </w:rPr>
      </w:pPr>
    </w:p>
    <w:p w14:paraId="037AA7D9">
      <w:pPr>
        <w:rPr>
          <w:rFonts w:hint="eastAsia" w:asciiTheme="majorEastAsia" w:hAnsiTheme="majorEastAsia" w:eastAsiaTheme="majorEastAsia" w:cstheme="majorEastAsia"/>
          <w:b w:val="0"/>
          <w:bCs w:val="0"/>
          <w:sz w:val="24"/>
          <w:szCs w:val="24"/>
          <w:highlight w:val="none"/>
          <w:lang w:val="en-US" w:eastAsia="zh-CN"/>
        </w:rPr>
      </w:pPr>
      <w:r>
        <w:rPr>
          <w:rFonts w:hint="eastAsia" w:asciiTheme="majorEastAsia" w:hAnsiTheme="majorEastAsia" w:eastAsiaTheme="majorEastAsia" w:cstheme="majorEastAsia"/>
          <w:b/>
          <w:bCs/>
          <w:sz w:val="24"/>
          <w:szCs w:val="24"/>
          <w:highlight w:val="none"/>
          <w:lang w:val="en-US" w:eastAsia="zh-CN"/>
        </w:rPr>
        <w:t>六、结论与思考</w:t>
      </w:r>
    </w:p>
    <w:p w14:paraId="2239BC5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7EE7703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当代南方地区的宗族关系，早已跳脱传统农业社会里紧密的资源互助框架，但“崇儒重教”的历史惯性，让学业成了当下宗族互动最显性的纽带。</w:t>
      </w:r>
    </w:p>
    <w:p w14:paraId="5F2AAAF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0F96F94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过去宗族集中资源供子弟科举、维系“教育－宗族”良性循环的传统，如今转化成了亲属间暗自比对成绩、争抢教育优势的日常竞争。哪怕城市化让亲缘往来淡了不少，只要宗族成员聚在一起，谁家孩子的升学进度、分数排名，还是会不自觉地成了话题中心，甚至带着“光宗耀祖”的旧滤镜，把个体学业成败和宗族脸面悄然绑定。</w:t>
      </w:r>
    </w:p>
    <w:p w14:paraId="7E772EE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0224CD7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这种宗族学业竞争里，还可以看见传统社会中“资源倾斜”的迹象。和过去偏向男性子弟的做法类似，如今不少南方宗族的学业支持（比如宗族奖学资金），仍更倾向于“能撑门面”的晚辈，隐性的性别偏向虽不似从前极端，却也没完全消失。而对当下的青年群体来说，这层竞争远不只是亲戚闲聊的压力。学业本就被内卷填满的他们，宗族里的攀比成了额外的精神负担，不少人干脆选择疏远亲属，“断亲”现象的背后，其实藏着对这种无边界学业竞争的主动逃离。</w:t>
      </w:r>
    </w:p>
    <w:p w14:paraId="45F3BCE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73B8D1B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有意思的是，这种宗族学业竞争从来不是单纯的“亲戚闲事”。放到当下的教育环境里看，普高升学率仅六成、本科录取率不足四成的现实，放大了家庭的教育焦虑，而宗族的血缘纽带刚好成了这种焦虑的出口。用社会学的视角拆解会发现：看似是某家孩子“不如人”的私人焦虑，实则是有限升学通道与宗族声望绑定的社会结构问题。哪怕没有宗族，教育焦虑也会找其他载体，但宗族让这种竞争裹上了“亲情”的外衣，更难被回避。</w:t>
      </w:r>
    </w:p>
    <w:p w14:paraId="709D8B0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7300AAF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笔者由此引发了更多的思考：传统宗族的资源互助功能，能不能从“攀比谁更好”转回“帮着一起好”？比如部分宗族的奖学基金，若能从只奖励尖子生转向覆盖更多普通家庭的教育帮扶，或许能让“以教兴族”的传统服务于当代的扩展家庭。不过至少目前，多数南方宗族的学业互动，还没跳出竞争的固有圈子。</w:t>
      </w:r>
    </w:p>
    <w:p w14:paraId="09CE09D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br w:type="page"/>
      </w:r>
    </w:p>
    <w:p w14:paraId="3606CA09">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仿宋_GB2312" w:hAnsi="仿宋_GB2312" w:eastAsia="仿宋_GB2312" w:cs="仿宋_GB2312"/>
          <w:b w:val="0"/>
          <w:bCs w:val="0"/>
          <w:sz w:val="24"/>
          <w:szCs w:val="24"/>
          <w:highlight w:val="none"/>
          <w:lang w:val="en-US" w:eastAsia="zh-CN"/>
        </w:rPr>
      </w:pPr>
      <w:r>
        <w:rPr>
          <w:rFonts w:hint="eastAsia" w:asciiTheme="majorEastAsia" w:hAnsiTheme="majorEastAsia" w:eastAsiaTheme="majorEastAsia" w:cstheme="majorEastAsia"/>
          <w:b/>
          <w:bCs/>
          <w:sz w:val="24"/>
          <w:szCs w:val="24"/>
          <w:highlight w:val="none"/>
          <w:lang w:val="en-US" w:eastAsia="zh-CN"/>
        </w:rPr>
        <w:t>七、致谢</w:t>
      </w:r>
    </w:p>
    <w:p w14:paraId="3B317BC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57FCFC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宗族，乡土，在文学家的笔下，是“天淡云闲今古同”“人歌人哭水声中”；在小说家的笔下，是“如同树木的荣枯，既系于自身的根基，也受制于周围的风风雨雨”；在社会学家的笔下，是形如“把一块石头丢在水面上所发生的一圈圈推出去的波纹”的差序格局。有人或许认为，以上理论皆是“昨天的故事”，不适用于当代中国社会。进入21世纪，政治经济的转型推动人口流动、城市化发展与治理现代化，传统的社会结构、权力分配、道德法礼几乎是土崩瓦解，乡土社会和宗族社会在中国南方各大城市逐渐难觅踪迹。但我们可以看到，“宗族关系”仍然存在，无时无刻不在影响着人们的心理、行为乃至对社会的认知。</w:t>
      </w:r>
    </w:p>
    <w:p w14:paraId="074E3FF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2397EF7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赖特・米尔斯在《社会学的想象力》一书中提到：“要把握人与社会，人生与历史自我与世界之间的相互作用，必须有特定的心智品质，这种心智品质称之为社会学的想象力。”他作为一名社会学家，生活在自己的生活历程之中，而这个历程又存在于某个历史序列之中。因为“他正在生活”这一事实，他就会对社会的发展和历史的演进作出贡献，无论这贡献多么微不足道，甚至连他自己也是在社会和历史的推进作用下塑造出来的。</w:t>
      </w:r>
    </w:p>
    <w:p w14:paraId="2A2FED8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0D6978D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我出生在当代南方地区的乡土社会，生活在“宗族关系时刻影响社会关系”的生活历程之中，而这个历程又存在于“科教兴国”“人才强国”的历史序列之中。但社会的主流宣传和社会成员的个体心理毕竟是有区别的，我能感受到当代宗族关系中那种微妙的“利益纠葛”甚至是“利益冲突”。我认为自己有必要反思祖辈父辈带给当代年轻人的“宗族关系”，为什么近几年来，部分高知家庭，为了孩子的学业，会在其很小的时候，就迁户口到大城市或者移民他国？为什么年轻人在考上大学后，很少考虑结婚生子、组建家庭，甚至有人会义正词严地宣布“断亲”，即远离宗族关系、拒绝亲戚走访。“教育资源”“学业压力”的影响人尽皆知，但宗族关系中的学业竞争带来的利益纠葛也不容忽视！</w:t>
      </w:r>
    </w:p>
    <w:p w14:paraId="62F34BE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354FB2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我个人感觉，跟亲戚打交道，既不轻松也不划算。我要花时间准备，还要费心想吉祥话、买礼物、包红包；但收获的幸福感却很少，聊天内容全是“查户口”式的追问。而且，同辈之间还会有隐形攀比，在这方面，我有很深刻的感受！整个义务教育阶段，我的同学和他们的家长，跟我有太多的“利益纠葛”，我早就想骂了！某些别有用心之人，真就是肆无忌惮地搞“学术垄断”，想方设法地给身边人“使坏”。我目前没有能力搞“学术垄断”，也不愿搞，我践行的是“信息平权，学术自由”。你能想象吗？我整个小学初中，在“关系”这个层面，就比不过别人。我的同乡陈大为（化名），他爸爸的辈分，比我还小一辈。每次考完试，那个家长都拿着大表格，到处查别人家孩子的成绩。他还特别喜欢在我妈妈面前感慨、阴阳。有次还直接把我的全科成绩截屏，发给我妈妈。</w:t>
      </w:r>
    </w:p>
    <w:p w14:paraId="69E5CE1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639764B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好吧，这确实是一段有趣有价值的人生阅历，给我的论文写作带来了独特的私人化语言，至于灵感和想法，那更是很珍贵的！</w:t>
      </w:r>
    </w:p>
    <w:p w14:paraId="32C3ED7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6927CF8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吴帆老师的课程轻松有趣，带给我了很多的想法和忠告！“社会学概论”的课程短暂却很充实，帆老师亲切随和，很有人格魅力，不少同学表示“他上课老有意思了”。帆老师每次上课，我都坐在前几排。快要结课时，他点了一次名。点到我时，他说：“帅，很帅啊！”，当时我有了“社会性死亡”的感觉。但现在想起来，确实很有意思。</w:t>
      </w:r>
    </w:p>
    <w:p w14:paraId="2FD0996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0886750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我还要感谢本院的宛晨曦学姐，她给予了我很多灵感和想法！一个偶然的机会，我把自己在Overleaf平台上编写的LaTeX源码内容发给她看，她指出“细看会有很多社会学的内容”“可以当社会学作业了”。我当时灵感如泉涌，汩汩而出！</w:t>
      </w:r>
    </w:p>
    <w:p w14:paraId="62164BD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1709FE4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我还要感谢本院吴淼老师提供的书单，他推荐了赖特・米尔斯的《社会学的想象力》。我粗略地读了读，起初感觉理论很深奥很思辨，现在估计只记住了一些高频的理论词汇和有趣的案例分析。直到乙巳年初回九江走亲戚，听长辈们聊“谁家孩子考上好大学，族里面上有光”时，我才忽然体会到了米尔斯说的“社会学想象力”的内核。他在书里反复戳破“私人麻烦”的幻象：你以为是“自家孩子不如人”的焦虑，其实是“社会结构嵌在个人生活里的褶皱”。</w:t>
      </w:r>
    </w:p>
    <w:p w14:paraId="078D27D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28DE6A1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若一座 10 万人口的城市里只有 1 个人失业，人们会把原因归为 “这个人不够努力、技能差”（这是个人困扰）；但如果是5000 万就业人口里有 1500 万人失业（比如大萧条时期），这就不再是个人问题，而是 “经济制度崩溃、社会机会结构坍塌” 的公共议题—— 再努力的人也敌不过时代的结构约束。你看到的 “同乡家长晒成绩、宗族里比孩子升学” 是个人困扰（家长的焦虑），但背后是 “普高升学率有限、宗族声望与教育绑定” 的公共议题。这正是米尔斯 “社会学的想象力” 要做的 “由个人及社会” 的联结！</w:t>
      </w:r>
    </w:p>
    <w:p w14:paraId="714CC67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0F64560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宗族学业竞争”必然会导致不少人心里“拧巴”，尤其是年轻人受不了家族中的“利益纠葛”“指指点点”，由此造成的“断亲”现象也就不足为奇了。但对于年轻人来说，可能最不需要的就是这些亲戚的理解了。毕竟都切断联系了，亲戚怎么想、怎么说自己，也不用知道了。至于亲情的空缺，不用担心，很多年轻人已经在自己的世界里找到了“新的家人”来填补。和谁产生了共鸣，谁能提供情绪价值，谁就是家人。</w:t>
      </w:r>
    </w:p>
    <w:p w14:paraId="64E3443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42F885F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我有一个不成熟的想法！随着生育率的持续走低，全球化和现代化的深入发展，当代南方地区乃至当代中国的“宗族社群”必然会缩减，“宗族社群”的话事人和组织者将会是人口占比较少的“新生代”。“新生代”们，会选择跟自己有“情感共鸣”“生活互助”“事业合作”而非“利益纠葛”的人组建家庭，发展宗族。而且“新生代”的宗族，不一定是同姓，也不一定同国籍，更不一定同种族。新生代的宗族，很有可能会发展成广义的跨国家族形式，业缘关系远大于血缘关系。</w:t>
      </w:r>
    </w:p>
    <w:p w14:paraId="4A5845E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2692B6F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任何时代、任何地域、任何行业、任何社群都有竞争，至于是不是“宗族关系”，那将无足轻重了。</w:t>
      </w:r>
    </w:p>
    <w:p w14:paraId="392C7ABB">
      <w:pPr>
        <w:rPr>
          <w:rFonts w:hint="eastAsia" w:asciiTheme="majorEastAsia" w:hAnsiTheme="majorEastAsia" w:eastAsiaTheme="majorEastAsia" w:cstheme="majorEastAsia"/>
          <w:b/>
          <w:bCs/>
          <w:sz w:val="24"/>
          <w:szCs w:val="24"/>
          <w:highlight w:val="none"/>
          <w:lang w:val="en-US" w:eastAsia="zh-CN"/>
        </w:rPr>
      </w:pPr>
      <w:r>
        <w:rPr>
          <w:rFonts w:hint="eastAsia" w:asciiTheme="majorEastAsia" w:hAnsiTheme="majorEastAsia" w:eastAsiaTheme="majorEastAsia" w:cstheme="majorEastAsia"/>
          <w:b/>
          <w:bCs/>
          <w:sz w:val="24"/>
          <w:szCs w:val="24"/>
          <w:highlight w:val="none"/>
          <w:lang w:val="en-US" w:eastAsia="zh-CN"/>
        </w:rPr>
        <w:br w:type="page"/>
      </w:r>
    </w:p>
    <w:p w14:paraId="3B386CF8">
      <w:pPr>
        <w:rPr>
          <w:rFonts w:hint="eastAsia" w:asciiTheme="majorEastAsia" w:hAnsiTheme="majorEastAsia" w:eastAsiaTheme="majorEastAsia" w:cstheme="majorEastAsia"/>
          <w:b w:val="0"/>
          <w:bCs w:val="0"/>
          <w:sz w:val="24"/>
          <w:szCs w:val="24"/>
          <w:highlight w:val="none"/>
          <w:lang w:val="en-US" w:eastAsia="zh-CN"/>
        </w:rPr>
      </w:pPr>
      <w:r>
        <w:rPr>
          <w:rFonts w:hint="eastAsia" w:asciiTheme="majorEastAsia" w:hAnsiTheme="majorEastAsia" w:eastAsiaTheme="majorEastAsia" w:cstheme="majorEastAsia"/>
          <w:b/>
          <w:bCs/>
          <w:sz w:val="24"/>
          <w:szCs w:val="24"/>
          <w:highlight w:val="none"/>
          <w:lang w:val="en-US" w:eastAsia="zh-CN"/>
        </w:rPr>
        <w:t>参考文献：</w:t>
      </w:r>
    </w:p>
    <w:p w14:paraId="2F9D1DF6">
      <w:pPr>
        <w:numPr>
          <w:ilvl w:val="0"/>
          <w:numId w:val="0"/>
        </w:numPr>
        <w:rPr>
          <w:rFonts w:hint="eastAsia" w:ascii="仿宋_GB2312" w:hAnsi="仿宋_GB2312" w:eastAsia="仿宋_GB2312" w:cs="仿宋_GB2312"/>
          <w:b w:val="0"/>
          <w:bCs w:val="0"/>
          <w:sz w:val="24"/>
          <w:szCs w:val="24"/>
          <w:highlight w:val="none"/>
          <w:lang w:val="en-US" w:eastAsia="zh-CN"/>
        </w:rPr>
      </w:pPr>
    </w:p>
    <w:p w14:paraId="4574E081">
      <w:pPr>
        <w:numPr>
          <w:ilvl w:val="0"/>
          <w:numId w:val="0"/>
        </w:numPr>
        <w:rPr>
          <w:rFonts w:hint="default" w:ascii="Times New Roman" w:hAnsi="Times New Roman" w:eastAsia="仿宋_GB2312" w:cs="Times New Roman"/>
          <w:b w:val="0"/>
          <w:bCs w:val="0"/>
          <w:sz w:val="24"/>
          <w:szCs w:val="24"/>
          <w:highlight w:val="none"/>
          <w:lang w:val="en-US" w:eastAsia="zh-CN"/>
        </w:rPr>
      </w:pPr>
      <w:r>
        <w:rPr>
          <w:rFonts w:hint="default" w:ascii="Times New Roman" w:hAnsi="Times New Roman" w:eastAsia="仿宋_GB2312" w:cs="Times New Roman"/>
          <w:b w:val="0"/>
          <w:bCs w:val="0"/>
          <w:sz w:val="24"/>
          <w:szCs w:val="24"/>
          <w:highlight w:val="none"/>
          <w:lang w:val="en-US" w:eastAsia="zh-CN"/>
        </w:rPr>
        <w:t>[1] 胡小武, 韩天泽. 青年“断亲”：何以发生？何去何从？[J]. 中国青年研究, 2022(5): 103-108.</w:t>
      </w:r>
    </w:p>
    <w:p w14:paraId="30316EE3">
      <w:pPr>
        <w:numPr>
          <w:ilvl w:val="0"/>
          <w:numId w:val="0"/>
        </w:numPr>
        <w:rPr>
          <w:rFonts w:hint="default" w:ascii="Times New Roman" w:hAnsi="Times New Roman" w:eastAsia="仿宋_GB2312" w:cs="Times New Roman"/>
          <w:b w:val="0"/>
          <w:bCs w:val="0"/>
          <w:sz w:val="24"/>
          <w:szCs w:val="24"/>
          <w:highlight w:val="none"/>
          <w:lang w:val="en-US" w:eastAsia="zh-CN"/>
        </w:rPr>
      </w:pPr>
    </w:p>
    <w:p w14:paraId="1ED21E6F">
      <w:pPr>
        <w:numPr>
          <w:ilvl w:val="0"/>
          <w:numId w:val="0"/>
        </w:numPr>
        <w:rPr>
          <w:rFonts w:hint="default" w:ascii="Times New Roman" w:hAnsi="Times New Roman" w:eastAsia="仿宋_GB2312" w:cs="Times New Roman"/>
          <w:b w:val="0"/>
          <w:bCs w:val="0"/>
          <w:sz w:val="24"/>
          <w:szCs w:val="24"/>
          <w:highlight w:val="none"/>
          <w:lang w:val="en-US" w:eastAsia="zh-CN"/>
        </w:rPr>
      </w:pPr>
      <w:r>
        <w:rPr>
          <w:rFonts w:hint="default" w:ascii="Times New Roman" w:hAnsi="Times New Roman" w:eastAsia="仿宋_GB2312" w:cs="Times New Roman"/>
          <w:b w:val="0"/>
          <w:bCs w:val="0"/>
          <w:sz w:val="24"/>
          <w:szCs w:val="24"/>
          <w:highlight w:val="none"/>
          <w:lang w:val="en-US" w:eastAsia="zh-CN"/>
        </w:rPr>
        <w:t>[2] 张骞. 亲属网络视角下的儿童学业成就：影响机制与阶层差异[J]. 社会学研究, 2025, 40(2): 153-178.</w:t>
      </w:r>
    </w:p>
    <w:p w14:paraId="32AA626C">
      <w:pPr>
        <w:numPr>
          <w:ilvl w:val="0"/>
          <w:numId w:val="0"/>
        </w:numPr>
        <w:rPr>
          <w:rFonts w:hint="default" w:ascii="Times New Roman" w:hAnsi="Times New Roman" w:eastAsia="仿宋_GB2312" w:cs="Times New Roman"/>
          <w:b w:val="0"/>
          <w:bCs w:val="0"/>
          <w:sz w:val="24"/>
          <w:szCs w:val="24"/>
          <w:highlight w:val="none"/>
          <w:lang w:val="en-US" w:eastAsia="zh-CN"/>
        </w:rPr>
      </w:pPr>
    </w:p>
    <w:p w14:paraId="6D57C9EE">
      <w:pPr>
        <w:numPr>
          <w:ilvl w:val="0"/>
          <w:numId w:val="0"/>
        </w:numPr>
        <w:rPr>
          <w:rFonts w:hint="default" w:ascii="Times New Roman" w:hAnsi="Times New Roman" w:eastAsia="仿宋_GB2312" w:cs="Times New Roman"/>
          <w:b w:val="0"/>
          <w:bCs w:val="0"/>
          <w:sz w:val="24"/>
          <w:szCs w:val="24"/>
          <w:highlight w:val="none"/>
          <w:lang w:val="en-US" w:eastAsia="zh-CN"/>
        </w:rPr>
      </w:pPr>
      <w:r>
        <w:rPr>
          <w:rFonts w:hint="default" w:ascii="Times New Roman" w:hAnsi="Times New Roman" w:eastAsia="仿宋_GB2312" w:cs="Times New Roman"/>
          <w:b w:val="0"/>
          <w:bCs w:val="0"/>
          <w:sz w:val="24"/>
          <w:szCs w:val="24"/>
          <w:highlight w:val="none"/>
          <w:lang w:val="en-US" w:eastAsia="zh-CN"/>
        </w:rPr>
        <w:t>[3] 丁从明, 邵敏敏, 梁甄桥. 宗族对农村人力资本投资的影响分析[J]. 中国农村经济, 2018(2): 103-115.</w:t>
      </w:r>
    </w:p>
    <w:p w14:paraId="7BD8EA84">
      <w:pPr>
        <w:numPr>
          <w:ilvl w:val="0"/>
          <w:numId w:val="0"/>
        </w:numPr>
        <w:rPr>
          <w:rFonts w:hint="default" w:ascii="Times New Roman" w:hAnsi="Times New Roman" w:eastAsia="仿宋_GB2312" w:cs="Times New Roman"/>
          <w:b w:val="0"/>
          <w:bCs w:val="0"/>
          <w:sz w:val="24"/>
          <w:szCs w:val="24"/>
          <w:highlight w:val="none"/>
          <w:lang w:val="en-US" w:eastAsia="zh-CN"/>
        </w:rPr>
      </w:pPr>
    </w:p>
    <w:p w14:paraId="77EE530D">
      <w:pPr>
        <w:numPr>
          <w:ilvl w:val="0"/>
          <w:numId w:val="0"/>
        </w:numPr>
        <w:rPr>
          <w:rFonts w:hint="default" w:ascii="Times New Roman" w:hAnsi="Times New Roman" w:eastAsia="仿宋_GB2312" w:cs="Times New Roman"/>
          <w:b w:val="0"/>
          <w:bCs w:val="0"/>
          <w:sz w:val="24"/>
          <w:szCs w:val="24"/>
          <w:highlight w:val="none"/>
          <w:lang w:val="en-US" w:eastAsia="zh-CN"/>
        </w:rPr>
      </w:pPr>
      <w:r>
        <w:rPr>
          <w:rFonts w:hint="default" w:ascii="Times New Roman" w:hAnsi="Times New Roman" w:eastAsia="仿宋_GB2312" w:cs="Times New Roman"/>
          <w:b w:val="0"/>
          <w:bCs w:val="0"/>
          <w:sz w:val="24"/>
          <w:szCs w:val="24"/>
          <w:highlight w:val="none"/>
          <w:lang w:val="en-US" w:eastAsia="zh-CN"/>
        </w:rPr>
        <w:t>[4] 梁若冰, 任伟聪. 宗族组织、信贷约束与农村人力资本积累——基于“大学扩招”的实证研究[J]. 经济科学, 2023(2): 96-110.</w:t>
      </w:r>
    </w:p>
    <w:p w14:paraId="55240B82">
      <w:pPr>
        <w:numPr>
          <w:ilvl w:val="0"/>
          <w:numId w:val="0"/>
        </w:numPr>
        <w:rPr>
          <w:rFonts w:hint="default" w:ascii="Times New Roman" w:hAnsi="Times New Roman" w:eastAsia="仿宋_GB2312" w:cs="Times New Roman"/>
          <w:b w:val="0"/>
          <w:bCs w:val="0"/>
          <w:sz w:val="24"/>
          <w:szCs w:val="24"/>
          <w:highlight w:val="none"/>
          <w:lang w:val="en-US" w:eastAsia="zh-CN"/>
        </w:rPr>
      </w:pPr>
    </w:p>
    <w:p w14:paraId="6E6F5064">
      <w:pPr>
        <w:numPr>
          <w:ilvl w:val="0"/>
          <w:numId w:val="0"/>
        </w:numPr>
        <w:rPr>
          <w:rFonts w:hint="default" w:ascii="Times New Roman" w:hAnsi="Times New Roman" w:eastAsia="仿宋_GB2312" w:cs="Times New Roman"/>
          <w:b w:val="0"/>
          <w:bCs w:val="0"/>
          <w:sz w:val="24"/>
          <w:szCs w:val="24"/>
          <w:highlight w:val="none"/>
          <w:lang w:val="en-US" w:eastAsia="zh-CN"/>
        </w:rPr>
      </w:pPr>
      <w:r>
        <w:rPr>
          <w:rFonts w:hint="default" w:ascii="Times New Roman" w:hAnsi="Times New Roman" w:eastAsia="仿宋_GB2312" w:cs="Times New Roman"/>
          <w:b w:val="0"/>
          <w:bCs w:val="0"/>
          <w:sz w:val="24"/>
          <w:szCs w:val="24"/>
          <w:highlight w:val="none"/>
          <w:lang w:val="en-US" w:eastAsia="zh-CN"/>
        </w:rPr>
        <w:t>[5] 赵忠, 侯风云. 中国农村子女教育同胞竞争效应研究[J]. 经济研究, 2013, 48(6): 126-139.</w:t>
      </w:r>
    </w:p>
    <w:p w14:paraId="6BEF6B1A">
      <w:pPr>
        <w:numPr>
          <w:ilvl w:val="0"/>
          <w:numId w:val="0"/>
        </w:numPr>
        <w:rPr>
          <w:rFonts w:hint="default" w:ascii="Times New Roman" w:hAnsi="Times New Roman" w:eastAsia="仿宋_GB2312" w:cs="Times New Roman"/>
          <w:b w:val="0"/>
          <w:bCs w:val="0"/>
          <w:sz w:val="24"/>
          <w:szCs w:val="24"/>
          <w:highlight w:val="none"/>
          <w:lang w:val="en-US" w:eastAsia="zh-CN"/>
        </w:rPr>
      </w:pPr>
    </w:p>
    <w:p w14:paraId="332BF9E8">
      <w:pPr>
        <w:numPr>
          <w:ilvl w:val="0"/>
          <w:numId w:val="0"/>
        </w:numPr>
        <w:rPr>
          <w:rFonts w:hint="default" w:ascii="Times New Roman" w:hAnsi="Times New Roman" w:eastAsia="仿宋_GB2312" w:cs="Times New Roman"/>
          <w:b w:val="0"/>
          <w:bCs w:val="0"/>
          <w:sz w:val="24"/>
          <w:szCs w:val="24"/>
          <w:highlight w:val="none"/>
          <w:lang w:val="en-US" w:eastAsia="zh-CN"/>
        </w:rPr>
      </w:pPr>
      <w:r>
        <w:rPr>
          <w:rFonts w:hint="default" w:ascii="Times New Roman" w:hAnsi="Times New Roman" w:eastAsia="仿宋_GB2312" w:cs="Times New Roman"/>
          <w:b w:val="0"/>
          <w:bCs w:val="0"/>
          <w:sz w:val="24"/>
          <w:szCs w:val="24"/>
          <w:highlight w:val="none"/>
          <w:lang w:val="en-US" w:eastAsia="zh-CN"/>
        </w:rPr>
        <w:t>[6] 江小角. 清代徽州宗族对人才培养的重视及其影响[J]. 安徽史学, 2013(5): 103-107.</w:t>
      </w:r>
    </w:p>
    <w:p w14:paraId="6F0B32F0">
      <w:pPr>
        <w:numPr>
          <w:ilvl w:val="0"/>
          <w:numId w:val="0"/>
        </w:numPr>
        <w:rPr>
          <w:rFonts w:hint="default" w:ascii="Times New Roman" w:hAnsi="Times New Roman" w:eastAsia="仿宋_GB2312" w:cs="Times New Roman"/>
          <w:b w:val="0"/>
          <w:bCs w:val="0"/>
          <w:sz w:val="24"/>
          <w:szCs w:val="24"/>
          <w:highlight w:val="none"/>
          <w:lang w:val="en-US" w:eastAsia="zh-CN"/>
        </w:rPr>
      </w:pPr>
    </w:p>
    <w:p w14:paraId="6730400B">
      <w:pPr>
        <w:numPr>
          <w:ilvl w:val="0"/>
          <w:numId w:val="0"/>
        </w:numPr>
        <w:rPr>
          <w:rFonts w:hint="default" w:ascii="Times New Roman" w:hAnsi="Times New Roman" w:eastAsia="仿宋_GB2312" w:cs="Times New Roman"/>
          <w:b w:val="0"/>
          <w:bCs w:val="0"/>
          <w:sz w:val="24"/>
          <w:szCs w:val="24"/>
          <w:highlight w:val="none"/>
          <w:lang w:val="en-US" w:eastAsia="zh-CN"/>
        </w:rPr>
      </w:pPr>
      <w:r>
        <w:rPr>
          <w:rFonts w:hint="default" w:ascii="Times New Roman" w:hAnsi="Times New Roman" w:eastAsia="仿宋_GB2312" w:cs="Times New Roman"/>
          <w:b w:val="0"/>
          <w:bCs w:val="0"/>
          <w:sz w:val="24"/>
          <w:szCs w:val="24"/>
          <w:highlight w:val="none"/>
          <w:lang w:val="en-US" w:eastAsia="zh-CN"/>
        </w:rPr>
        <w:t>[7] 陈友华, 宗昊. “断亲”概念、问题及思考[J]. 扬州大学学报(人文社会科学版), 2023, 27(3): 11-18.</w:t>
      </w:r>
    </w:p>
    <w:p w14:paraId="4E5D1069">
      <w:pPr>
        <w:numPr>
          <w:ilvl w:val="0"/>
          <w:numId w:val="0"/>
        </w:numPr>
        <w:rPr>
          <w:rFonts w:hint="default" w:ascii="Times New Roman" w:hAnsi="Times New Roman" w:eastAsia="仿宋_GB2312" w:cs="Times New Roman"/>
          <w:b w:val="0"/>
          <w:bCs w:val="0"/>
          <w:sz w:val="24"/>
          <w:szCs w:val="24"/>
          <w:highlight w:val="none"/>
          <w:lang w:val="en-US" w:eastAsia="zh-CN"/>
        </w:rPr>
      </w:pPr>
    </w:p>
    <w:p w14:paraId="57D35A47">
      <w:pPr>
        <w:numPr>
          <w:ilvl w:val="0"/>
          <w:numId w:val="0"/>
        </w:numPr>
        <w:rPr>
          <w:rFonts w:hint="default" w:ascii="Times New Roman" w:hAnsi="Times New Roman" w:eastAsia="仿宋_GB2312" w:cs="Times New Roman"/>
          <w:b w:val="0"/>
          <w:bCs w:val="0"/>
          <w:sz w:val="24"/>
          <w:szCs w:val="24"/>
          <w:highlight w:val="none"/>
          <w:lang w:val="en-US" w:eastAsia="zh-CN"/>
        </w:rPr>
      </w:pPr>
      <w:r>
        <w:rPr>
          <w:rFonts w:hint="default" w:ascii="Times New Roman" w:hAnsi="Times New Roman" w:eastAsia="仿宋_GB2312" w:cs="Times New Roman"/>
          <w:b w:val="0"/>
          <w:bCs w:val="0"/>
          <w:sz w:val="24"/>
          <w:szCs w:val="24"/>
          <w:highlight w:val="none"/>
          <w:lang w:val="en-US" w:eastAsia="zh-CN"/>
        </w:rPr>
        <w:t>[8] 陈永侠. 唯物史观视域下的家庭现代性危机研究[D]. 南宁: 广西师范学院, 2016.</w:t>
      </w:r>
    </w:p>
    <w:p w14:paraId="4D1C24FC">
      <w:pPr>
        <w:numPr>
          <w:ilvl w:val="0"/>
          <w:numId w:val="0"/>
        </w:numPr>
        <w:rPr>
          <w:rFonts w:hint="default" w:ascii="Times New Roman" w:hAnsi="Times New Roman" w:eastAsia="仿宋_GB2312" w:cs="Times New Roman"/>
          <w:b w:val="0"/>
          <w:bCs w:val="0"/>
          <w:sz w:val="24"/>
          <w:szCs w:val="24"/>
          <w:highlight w:val="none"/>
          <w:lang w:val="en-US" w:eastAsia="zh-CN"/>
        </w:rPr>
      </w:pPr>
    </w:p>
    <w:p w14:paraId="31A22B5E">
      <w:pPr>
        <w:numPr>
          <w:ilvl w:val="0"/>
          <w:numId w:val="0"/>
        </w:numPr>
        <w:rPr>
          <w:rFonts w:hint="default" w:ascii="Times New Roman" w:hAnsi="Times New Roman" w:eastAsia="仿宋_GB2312" w:cs="Times New Roman"/>
          <w:b w:val="0"/>
          <w:bCs w:val="0"/>
          <w:sz w:val="24"/>
          <w:szCs w:val="24"/>
          <w:highlight w:val="none"/>
          <w:lang w:val="en-US" w:eastAsia="zh-CN"/>
        </w:rPr>
      </w:pPr>
      <w:r>
        <w:rPr>
          <w:rFonts w:hint="default" w:ascii="Times New Roman" w:hAnsi="Times New Roman" w:eastAsia="仿宋_GB2312" w:cs="Times New Roman"/>
          <w:b w:val="0"/>
          <w:bCs w:val="0"/>
          <w:sz w:val="24"/>
          <w:szCs w:val="24"/>
          <w:highlight w:val="none"/>
          <w:lang w:val="en-US" w:eastAsia="zh-CN"/>
        </w:rPr>
        <w:t>[9] 刘红梅. 唯物史观视域中的中西方家庭文化对比研究[D]. 上海: 上海财经大学, 2020.</w:t>
      </w:r>
    </w:p>
    <w:p w14:paraId="4D485D27">
      <w:pPr>
        <w:numPr>
          <w:ilvl w:val="0"/>
          <w:numId w:val="0"/>
        </w:numPr>
        <w:rPr>
          <w:rFonts w:hint="default" w:ascii="Times New Roman" w:hAnsi="Times New Roman" w:eastAsia="仿宋_GB2312" w:cs="Times New Roman"/>
          <w:b w:val="0"/>
          <w:bCs w:val="0"/>
          <w:sz w:val="24"/>
          <w:szCs w:val="24"/>
          <w:highlight w:val="none"/>
          <w:lang w:val="en-US" w:eastAsia="zh-CN"/>
        </w:rPr>
      </w:pPr>
    </w:p>
    <w:p w14:paraId="5519A198">
      <w:pPr>
        <w:numPr>
          <w:ilvl w:val="0"/>
          <w:numId w:val="0"/>
        </w:numPr>
        <w:rPr>
          <w:rFonts w:hint="default" w:ascii="Times New Roman" w:hAnsi="Times New Roman" w:eastAsia="仿宋_GB2312" w:cs="Times New Roman"/>
          <w:b w:val="0"/>
          <w:bCs w:val="0"/>
          <w:sz w:val="24"/>
          <w:szCs w:val="24"/>
          <w:highlight w:val="none"/>
          <w:lang w:val="en-US" w:eastAsia="zh-CN"/>
        </w:rPr>
      </w:pPr>
      <w:r>
        <w:rPr>
          <w:rFonts w:hint="default" w:ascii="Times New Roman" w:hAnsi="Times New Roman" w:eastAsia="仿宋_GB2312" w:cs="Times New Roman"/>
          <w:b w:val="0"/>
          <w:bCs w:val="0"/>
          <w:sz w:val="24"/>
          <w:szCs w:val="24"/>
          <w:highlight w:val="none"/>
          <w:lang w:val="en-US" w:eastAsia="zh-CN"/>
        </w:rPr>
        <w:t>[10] Zhou, X., &amp; Kim, S. S. (2020). Sibling relationship qualities and peer and academic adjustment: A multi-informant longitudinal study of Chinese families[J]. Journal of Family Psychology, 34(1), 11-22.</w:t>
      </w:r>
    </w:p>
    <w:p w14:paraId="391BE086">
      <w:pPr>
        <w:numPr>
          <w:ilvl w:val="0"/>
          <w:numId w:val="0"/>
        </w:numPr>
        <w:rPr>
          <w:rFonts w:hint="default" w:ascii="Times New Roman" w:hAnsi="Times New Roman" w:eastAsia="仿宋_GB2312" w:cs="Times New Roman"/>
          <w:b w:val="0"/>
          <w:bCs w:val="0"/>
          <w:sz w:val="24"/>
          <w:szCs w:val="24"/>
          <w:highlight w:val="none"/>
          <w:lang w:val="en-US" w:eastAsia="zh-CN"/>
        </w:rPr>
      </w:pPr>
    </w:p>
    <w:p w14:paraId="35E592D8">
      <w:pPr>
        <w:numPr>
          <w:ilvl w:val="0"/>
          <w:numId w:val="0"/>
        </w:numPr>
        <w:rPr>
          <w:rFonts w:hint="default" w:ascii="Times New Roman" w:hAnsi="Times New Roman" w:eastAsia="仿宋_GB2312" w:cs="Times New Roman"/>
          <w:b w:val="0"/>
          <w:bCs w:val="0"/>
          <w:sz w:val="24"/>
          <w:szCs w:val="24"/>
          <w:highlight w:val="none"/>
          <w:lang w:val="en-US" w:eastAsia="zh-CN"/>
        </w:rPr>
      </w:pPr>
      <w:r>
        <w:rPr>
          <w:rFonts w:hint="default" w:ascii="Times New Roman" w:hAnsi="Times New Roman" w:eastAsia="仿宋_GB2312" w:cs="Times New Roman"/>
          <w:b w:val="0"/>
          <w:bCs w:val="0"/>
          <w:sz w:val="24"/>
          <w:szCs w:val="24"/>
          <w:highlight w:val="none"/>
          <w:lang w:val="en-US" w:eastAsia="zh-CN"/>
        </w:rPr>
        <w:t>[11] Han, W. J., Whetung, T., &amp; Mao, X. (2021). Living with grandparents: Multi-generational families and the academic performance of grandchildren in China[J]. Journal of Family Studies, 27(2), 201-218.</w:t>
      </w:r>
    </w:p>
    <w:p w14:paraId="30D84881">
      <w:pPr>
        <w:numPr>
          <w:ilvl w:val="0"/>
          <w:numId w:val="0"/>
        </w:numPr>
        <w:rPr>
          <w:rFonts w:hint="default" w:ascii="Times New Roman" w:hAnsi="Times New Roman" w:eastAsia="仿宋_GB2312" w:cs="Times New Roman"/>
          <w:b w:val="0"/>
          <w:bCs w:val="0"/>
          <w:sz w:val="24"/>
          <w:szCs w:val="24"/>
          <w:highlight w:val="none"/>
          <w:lang w:val="en-US" w:eastAsia="zh-CN"/>
        </w:rPr>
      </w:pPr>
    </w:p>
    <w:p w14:paraId="05D65B5C">
      <w:pPr>
        <w:numPr>
          <w:ilvl w:val="0"/>
          <w:numId w:val="0"/>
        </w:numPr>
        <w:rPr>
          <w:rFonts w:hint="eastAsia" w:ascii="仿宋_GB2312" w:hAnsi="仿宋_GB2312" w:eastAsia="仿宋_GB2312" w:cs="仿宋_GB2312"/>
          <w:b w:val="0"/>
          <w:bCs w:val="0"/>
          <w:sz w:val="24"/>
          <w:szCs w:val="24"/>
          <w:highlight w:val="none"/>
          <w:lang w:val="en-US" w:eastAsia="zh-CN"/>
        </w:rPr>
      </w:pPr>
    </w:p>
    <w:p w14:paraId="6EBBE364">
      <w:pPr>
        <w:jc w:val="both"/>
        <w:rPr>
          <w:rFonts w:hint="default" w:ascii="黑体" w:hAnsi="黑体" w:eastAsia="黑体"/>
          <w:b/>
          <w:sz w:val="28"/>
          <w:szCs w:val="28"/>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1BB509C-7E26-4220-A4B3-ABE95A17C9B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_GBK">
    <w:panose1 w:val="02000000000000000000"/>
    <w:charset w:val="86"/>
    <w:family w:val="auto"/>
    <w:pitch w:val="default"/>
    <w:sig w:usb0="A00002BF" w:usb1="38CF7CFA" w:usb2="00082016" w:usb3="00000000" w:csb0="00040001" w:csb1="00000000"/>
    <w:embedRegular r:id="rId2" w:fontKey="{3985046B-0E8A-4DC2-8682-7D6756418CD7}"/>
  </w:font>
  <w:font w:name="仿宋_GB2312">
    <w:panose1 w:val="02010609030101010101"/>
    <w:charset w:val="86"/>
    <w:family w:val="auto"/>
    <w:pitch w:val="default"/>
    <w:sig w:usb0="00000001" w:usb1="080E0000" w:usb2="00000000" w:usb3="00000000" w:csb0="00040000" w:csb1="00000000"/>
    <w:embedRegular r:id="rId3" w:fontKey="{670587CD-DC6A-4C39-8CA9-84DBC253EB42}"/>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4">
    <w:p>
      <w:r>
        <w:separator/>
      </w:r>
    </w:p>
  </w:footnote>
  <w:footnote w:type="continuationSeparator" w:id="15">
    <w:p>
      <w:r>
        <w:continuationSeparator/>
      </w:r>
    </w:p>
  </w:footnote>
  <w:footnote w:id="0">
    <w:p w14:paraId="5A2A6438">
      <w:pPr>
        <w:pStyle w:val="3"/>
        <w:snapToGrid w:val="0"/>
        <w:rPr>
          <w:rFonts w:hint="default"/>
        </w:rPr>
      </w:pPr>
      <w:r>
        <w:rPr>
          <w:rStyle w:val="10"/>
        </w:rPr>
        <w:footnoteRef/>
      </w:r>
      <w:r>
        <w:t xml:space="preserve"> </w:t>
      </w:r>
      <w:r>
        <w:rPr>
          <w:rFonts w:hint="default"/>
          <w:lang w:val="en-US" w:eastAsia="zh-CN"/>
        </w:rPr>
        <w:t>数据来源于中华人民共和国教育部官网</w:t>
      </w:r>
    </w:p>
    <w:p w14:paraId="6242BE33">
      <w:pPr>
        <w:pStyle w:val="3"/>
        <w:snapToGrid w:val="0"/>
        <w:rPr>
          <w:rFonts w:hint="default"/>
        </w:rPr>
      </w:pPr>
      <w:r>
        <w:rPr>
          <w:rFonts w:hint="default"/>
          <w:lang w:val="en-US" w:eastAsia="zh-CN"/>
        </w:rPr>
        <w:t>- 2024 年全国普通高中招生</w:t>
      </w:r>
      <w:r>
        <w:rPr>
          <w:rFonts w:hint="default"/>
          <w:b/>
          <w:bCs/>
          <w:lang w:val="en-US" w:eastAsia="zh-CN"/>
        </w:rPr>
        <w:t>1036.20</w:t>
      </w:r>
      <w:r>
        <w:rPr>
          <w:rFonts w:hint="default"/>
          <w:lang w:val="en-US" w:eastAsia="zh-CN"/>
        </w:rPr>
        <w:t>万人</w:t>
      </w:r>
    </w:p>
    <w:p w14:paraId="4190C84E">
      <w:pPr>
        <w:pStyle w:val="3"/>
        <w:snapToGrid w:val="0"/>
        <w:rPr>
          <w:rFonts w:hint="default"/>
        </w:rPr>
      </w:pPr>
      <w:r>
        <w:rPr>
          <w:rFonts w:hint="default"/>
          <w:lang w:val="en-US" w:eastAsia="zh-CN"/>
        </w:rPr>
        <w:t>- 2024 年全国初中毕业生</w:t>
      </w:r>
      <w:r>
        <w:rPr>
          <w:rFonts w:hint="default"/>
          <w:b/>
          <w:bCs/>
          <w:lang w:val="en-US" w:eastAsia="zh-CN"/>
        </w:rPr>
        <w:t>1698.24</w:t>
      </w:r>
      <w:r>
        <w:rPr>
          <w:rFonts w:hint="default"/>
          <w:lang w:val="en-US" w:eastAsia="zh-CN"/>
        </w:rPr>
        <w:t>万人</w:t>
      </w:r>
    </w:p>
    <w:p w14:paraId="7BBC36E5">
      <w:pPr>
        <w:pStyle w:val="3"/>
        <w:snapToGrid w:val="0"/>
        <w:rPr>
          <w:rFonts w:hint="default"/>
        </w:rPr>
      </w:pPr>
      <w:r>
        <w:rPr>
          <w:rFonts w:hint="default"/>
          <w:lang w:val="en-US" w:eastAsia="zh-CN"/>
        </w:rPr>
        <w:t>- 普高升学率：1036.20÷1698.24×100%＝</w:t>
      </w:r>
      <w:r>
        <w:rPr>
          <w:rFonts w:hint="default"/>
          <w:b/>
          <w:bCs/>
          <w:lang w:val="en-US" w:eastAsia="zh-CN"/>
        </w:rPr>
        <w:t>61.02%</w:t>
      </w:r>
    </w:p>
    <w:p w14:paraId="208BCE92">
      <w:pPr>
        <w:pStyle w:val="3"/>
        <w:snapToGrid w:val="0"/>
      </w:pPr>
    </w:p>
  </w:footnote>
  <w:footnote w:id="1">
    <w:p w14:paraId="2D95F152">
      <w:pPr>
        <w:pStyle w:val="3"/>
        <w:snapToGrid w:val="0"/>
        <w:rPr>
          <w:rFonts w:hint="default"/>
        </w:rPr>
      </w:pPr>
      <w:r>
        <w:rPr>
          <w:rStyle w:val="10"/>
        </w:rPr>
        <w:footnoteRef/>
      </w:r>
      <w:r>
        <w:t xml:space="preserve"> </w:t>
      </w:r>
      <w:r>
        <w:rPr>
          <w:rFonts w:hint="default"/>
          <w:lang w:val="en-US" w:eastAsia="zh-CN"/>
        </w:rPr>
        <w:t>数据来源于中华人民共和国教育部官网</w:t>
      </w:r>
    </w:p>
    <w:p w14:paraId="585682FB">
      <w:pPr>
        <w:pStyle w:val="3"/>
        <w:snapToGrid w:val="0"/>
        <w:rPr>
          <w:rFonts w:hint="default"/>
        </w:rPr>
      </w:pPr>
      <w:r>
        <w:rPr>
          <w:rFonts w:hint="default"/>
          <w:lang w:val="en-US" w:eastAsia="zh-CN"/>
        </w:rPr>
        <w:t>- 2024 年全国普通本科招生</w:t>
      </w:r>
      <w:r>
        <w:rPr>
          <w:rFonts w:hint="default"/>
          <w:b/>
          <w:bCs/>
          <w:lang w:val="en-US" w:eastAsia="zh-CN"/>
        </w:rPr>
        <w:t>489.97</w:t>
      </w:r>
      <w:r>
        <w:rPr>
          <w:rFonts w:hint="default"/>
          <w:lang w:val="en-US" w:eastAsia="zh-CN"/>
        </w:rPr>
        <w:t>万人</w:t>
      </w:r>
    </w:p>
    <w:p w14:paraId="1A49F1A5">
      <w:pPr>
        <w:pStyle w:val="3"/>
        <w:snapToGrid w:val="0"/>
        <w:rPr>
          <w:rFonts w:hint="default"/>
        </w:rPr>
      </w:pPr>
      <w:r>
        <w:rPr>
          <w:rFonts w:hint="default"/>
          <w:lang w:val="en-US" w:eastAsia="zh-CN"/>
        </w:rPr>
        <w:t>- 2024 年全国高考报名人数</w:t>
      </w:r>
      <w:r>
        <w:rPr>
          <w:rFonts w:hint="default"/>
          <w:b/>
          <w:bCs/>
          <w:lang w:val="en-US" w:eastAsia="zh-CN"/>
        </w:rPr>
        <w:t>1342</w:t>
      </w:r>
      <w:r>
        <w:rPr>
          <w:rFonts w:hint="default"/>
          <w:lang w:val="en-US" w:eastAsia="zh-CN"/>
        </w:rPr>
        <w:t>万人</w:t>
      </w:r>
    </w:p>
    <w:p w14:paraId="4F805F84">
      <w:pPr>
        <w:pStyle w:val="3"/>
        <w:snapToGrid w:val="0"/>
        <w:rPr>
          <w:rFonts w:hint="default"/>
        </w:rPr>
      </w:pPr>
      <w:r>
        <w:rPr>
          <w:rFonts w:hint="default"/>
          <w:lang w:val="en-US" w:eastAsia="zh-CN"/>
        </w:rPr>
        <w:t>- 本科升学率：489.97÷1342×100%＝</w:t>
      </w:r>
      <w:r>
        <w:rPr>
          <w:rFonts w:hint="default"/>
          <w:b/>
          <w:bCs/>
          <w:lang w:val="en-US" w:eastAsia="zh-CN"/>
        </w:rPr>
        <w:t>36.51%</w:t>
      </w:r>
    </w:p>
    <w:p w14:paraId="152C46E7">
      <w:pPr>
        <w:pStyle w:val="3"/>
        <w:snapToGrid w:val="0"/>
      </w:pPr>
    </w:p>
  </w:footnote>
  <w:footnote w:id="2">
    <w:p w14:paraId="35681799">
      <w:pPr>
        <w:pStyle w:val="3"/>
        <w:snapToGrid w:val="0"/>
        <w:rPr>
          <w:rFonts w:hint="default"/>
        </w:rPr>
      </w:pPr>
      <w:r>
        <w:rPr>
          <w:rStyle w:val="10"/>
        </w:rPr>
        <w:footnoteRef/>
      </w:r>
      <w:r>
        <w:t xml:space="preserve"> </w:t>
      </w:r>
      <w:r>
        <w:rPr>
          <w:rFonts w:hint="default"/>
          <w:lang w:val="en-US" w:eastAsia="zh-CN"/>
        </w:rPr>
        <w:t>摘自《Living with grandparents</w:t>
      </w:r>
      <w:r>
        <w:rPr>
          <w:rFonts w:hint="eastAsia"/>
          <w:lang w:val="en-US" w:eastAsia="zh-CN"/>
        </w:rPr>
        <w:t>—</w:t>
      </w:r>
      <w:r>
        <w:rPr>
          <w:rFonts w:hint="default"/>
          <w:lang w:val="en-US" w:eastAsia="zh-CN"/>
        </w:rPr>
        <w:t>Multi-generational families and the academic performance of grandchildren in China》</w:t>
      </w:r>
    </w:p>
    <w:p w14:paraId="00E57D7E">
      <w:pPr>
        <w:pStyle w:val="3"/>
        <w:snapToGrid w:val="0"/>
      </w:pPr>
    </w:p>
  </w:footnote>
  <w:footnote w:id="3">
    <w:p w14:paraId="0FDB7610">
      <w:pPr>
        <w:pStyle w:val="3"/>
        <w:snapToGrid w:val="0"/>
        <w:rPr>
          <w:rFonts w:hint="default"/>
        </w:rPr>
      </w:pPr>
      <w:r>
        <w:rPr>
          <w:rStyle w:val="10"/>
        </w:rPr>
        <w:footnoteRef/>
      </w:r>
      <w:r>
        <w:t xml:space="preserve"> </w:t>
      </w:r>
      <w:r>
        <w:rPr>
          <w:rFonts w:hint="default"/>
          <w:lang w:val="en-US" w:eastAsia="zh-CN"/>
        </w:rPr>
        <w:t>这名本科生是笔者的同班同学</w:t>
      </w:r>
    </w:p>
    <w:p w14:paraId="7946B517">
      <w:pPr>
        <w:pStyle w:val="3"/>
        <w:snapToGrid w:val="0"/>
      </w:pPr>
    </w:p>
  </w:footnote>
  <w:footnote w:id="4">
    <w:p w14:paraId="0D3C747C">
      <w:pPr>
        <w:pStyle w:val="3"/>
        <w:snapToGrid w:val="0"/>
        <w:rPr>
          <w:rFonts w:hint="default"/>
        </w:rPr>
      </w:pPr>
      <w:r>
        <w:rPr>
          <w:rStyle w:val="10"/>
        </w:rPr>
        <w:footnoteRef/>
      </w:r>
      <w:r>
        <w:t xml:space="preserve"> </w:t>
      </w:r>
      <w:r>
        <w:rPr>
          <w:rFonts w:hint="default"/>
          <w:lang w:val="en-US" w:eastAsia="zh-CN"/>
        </w:rPr>
        <w:t>数据来源于《宗族对农村人力资本投资的影响分析》，丁从明, 邵敏敏, 梁甄桥</w:t>
      </w:r>
    </w:p>
    <w:p w14:paraId="48676346">
      <w:pPr>
        <w:pStyle w:val="3"/>
        <w:snapToGrid w:val="0"/>
      </w:pPr>
    </w:p>
  </w:footnote>
  <w:footnote w:id="5">
    <w:p w14:paraId="117034B0">
      <w:pPr>
        <w:pStyle w:val="3"/>
        <w:snapToGrid w:val="0"/>
        <w:rPr>
          <w:rFonts w:hint="default"/>
        </w:rPr>
      </w:pPr>
      <w:r>
        <w:rPr>
          <w:rStyle w:val="10"/>
        </w:rPr>
        <w:footnoteRef/>
      </w:r>
      <w:r>
        <w:t xml:space="preserve"> </w:t>
      </w:r>
      <w:r>
        <w:rPr>
          <w:rFonts w:hint="default"/>
          <w:lang w:val="en-US" w:eastAsia="zh-CN"/>
        </w:rPr>
        <w:t>摘自《宗族对农村人力资本投资的影响分析》，丁从明, 邵敏敏, 梁甄桥</w:t>
      </w:r>
    </w:p>
    <w:p w14:paraId="7779E2BB">
      <w:pPr>
        <w:pStyle w:val="3"/>
        <w:snapToGrid w:val="0"/>
      </w:pPr>
    </w:p>
  </w:footnote>
  <w:footnote w:id="6">
    <w:p w14:paraId="7CD8447A">
      <w:pPr>
        <w:pStyle w:val="3"/>
        <w:snapToGrid w:val="0"/>
        <w:rPr>
          <w:rFonts w:hint="default"/>
        </w:rPr>
      </w:pPr>
      <w:r>
        <w:rPr>
          <w:rStyle w:val="10"/>
        </w:rPr>
        <w:footnoteRef/>
      </w:r>
      <w:r>
        <w:t xml:space="preserve"> </w:t>
      </w:r>
      <w:r>
        <w:rPr>
          <w:rFonts w:hint="default"/>
          <w:lang w:val="en-US" w:eastAsia="zh-CN"/>
        </w:rPr>
        <w:t>数据来源《青年“断亲”：何以发生？何去何从？》</w:t>
      </w:r>
      <w:r>
        <w:rPr>
          <w:rFonts w:hint="eastAsia"/>
          <w:lang w:val="en-US" w:eastAsia="zh-CN"/>
        </w:rPr>
        <w:t>，</w:t>
      </w:r>
      <w:r>
        <w:rPr>
          <w:rFonts w:hint="default"/>
          <w:lang w:val="en-US" w:eastAsia="zh-CN"/>
        </w:rPr>
        <w:t>胡小武，南京大学</w:t>
      </w:r>
    </w:p>
    <w:p w14:paraId="1F8F3FE8">
      <w:pPr>
        <w:pStyle w:val="3"/>
        <w:snapToGrid w:val="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36EA0F"/>
    <w:multiLevelType w:val="singleLevel"/>
    <w:tmpl w:val="B336EA0F"/>
    <w:lvl w:ilvl="0" w:tentative="0">
      <w:start w:val="1"/>
      <w:numFmt w:val="chineseCounting"/>
      <w:suff w:val="nothing"/>
      <w:lvlText w:val="%1、"/>
      <w:lvlJc w:val="left"/>
      <w:rPr>
        <w:rFonts w:hint="eastAsia" w:asciiTheme="majorEastAsia" w:hAnsiTheme="majorEastAsia" w:eastAsiaTheme="majorEastAsia" w:cstheme="majorEastAsia"/>
      </w:rPr>
    </w:lvl>
  </w:abstractNum>
  <w:abstractNum w:abstractNumId="1">
    <w:nsid w:val="F46568CF"/>
    <w:multiLevelType w:val="singleLevel"/>
    <w:tmpl w:val="F46568CF"/>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14"/>
    <w:footnote w:id="15"/>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EwMWIzMjQ1YzFhNTE3Y2U3OTBhNzM3NGJmMmIxZDkifQ=="/>
  </w:docVars>
  <w:rsids>
    <w:rsidRoot w:val="00000000"/>
    <w:rsid w:val="09420EF8"/>
    <w:rsid w:val="0AE63019"/>
    <w:rsid w:val="0C50326D"/>
    <w:rsid w:val="14D032DF"/>
    <w:rsid w:val="175F0C41"/>
    <w:rsid w:val="1ABF7E03"/>
    <w:rsid w:val="1DB20AC8"/>
    <w:rsid w:val="2436509E"/>
    <w:rsid w:val="2848051E"/>
    <w:rsid w:val="2EFCDA93"/>
    <w:rsid w:val="30E43E01"/>
    <w:rsid w:val="39B62FF5"/>
    <w:rsid w:val="3D7821D8"/>
    <w:rsid w:val="3DDD620F"/>
    <w:rsid w:val="3E082827"/>
    <w:rsid w:val="3FEBF2E7"/>
    <w:rsid w:val="45B43170"/>
    <w:rsid w:val="49A0233B"/>
    <w:rsid w:val="4CAC4C77"/>
    <w:rsid w:val="52736A2F"/>
    <w:rsid w:val="53D208E5"/>
    <w:rsid w:val="591E49E7"/>
    <w:rsid w:val="66615DF8"/>
    <w:rsid w:val="687A23E9"/>
    <w:rsid w:val="690416E4"/>
    <w:rsid w:val="6BFD6FE7"/>
    <w:rsid w:val="6C60526A"/>
    <w:rsid w:val="70BD6A21"/>
    <w:rsid w:val="73431D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note text"/>
    <w:basedOn w:val="1"/>
    <w:qFormat/>
    <w:uiPriority w:val="0"/>
    <w:pPr>
      <w:snapToGrid w:val="0"/>
      <w:jc w:val="left"/>
    </w:pPr>
    <w:rPr>
      <w:sz w:val="18"/>
    </w:r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TML Code"/>
    <w:basedOn w:val="7"/>
    <w:qFormat/>
    <w:uiPriority w:val="0"/>
    <w:rPr>
      <w:rFonts w:ascii="Courier New" w:hAnsi="Courier New"/>
      <w:sz w:val="20"/>
    </w:rPr>
  </w:style>
  <w:style w:type="character" w:styleId="10">
    <w:name w:val="footnote reference"/>
    <w:basedOn w:val="7"/>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55847341-126a-4cce-8257-6cf7f72b5588</errorID>
      <errorWord>-</errorWord>
      <group>L1_Format</group>
      <groupName>格式问题</groupName>
      <ability>L2_HalfPunc</ability>
      <abilityName>全半角检查</abilityName>
      <candidateList>
        <item>－</item>
      </candidateList>
      <explain>文本全半角错误。</explain>
      <paraID>25F0D372</paraID>
      <start>53</start>
      <end>54</end>
      <status>modified</status>
      <modifiedWord>－</modifiedWord>
      <trackRevisions>false</trackRevisions>
    </reviewItem>
    <reviewItem>
      <errorID>8fb4efce-11c5-43ab-b117-9b7638a00ccb</errorID>
      <errorWord>-</errorWord>
      <group>L1_Format</group>
      <groupName>格式问题</groupName>
      <ability>L2_HalfPunc</ability>
      <abilityName>全半角检查</abilityName>
      <candidateList>
        <item>－</item>
      </candidateList>
      <explain>文本全半角错误。</explain>
      <paraID>25F0D372</paraID>
      <start>56</start>
      <end>57</end>
      <status>modified</status>
      <modifiedWord>－</modifiedWord>
      <trackRevisions>false</trackRevisions>
    </reviewItem>
    <reviewItem>
      <errorID>8be4eb35-076b-4f6c-a378-c38486d4a527</errorID>
      <errorWord>-</errorWord>
      <group>L1_Format</group>
      <groupName>格式问题</groupName>
      <ability>L2_HalfPunc</ability>
      <abilityName>全半角检查</abilityName>
      <candidateList>
        <item>－</item>
      </candidateList>
      <explain>文本全半角错误。</explain>
      <paraID>25F0D372</paraID>
      <start>59</start>
      <end>60</end>
      <status>modified</status>
      <modifiedWord>－</modifiedWord>
      <trackRevisions>false</trackRevisions>
    </reviewItem>
    <reviewItem>
      <errorID>e36da8ee-3e49-4c33-9cfd-c1ab46c61628</errorID>
      <errorWord>里</errorWord>
      <group>L1_Word</group>
      <groupName>字词问题</groupName>
      <ability>L2_Typo</ability>
      <abilityName>字词错误</abilityName>
      <candidateList>
        <item>中</item>
      </candidateList>
      <explain>存在字形相近字词的误用。</explain>
      <paraID> 146EFD9</paraID>
      <start>61</start>
      <end>62</end>
      <status>modified</status>
      <modifiedWord>中</modifiedWord>
      <trackRevisions>false</trackRevisions>
    </reviewItem>
    <reviewItem>
      <errorID>ac6e9087-5a8b-4701-8f80-d5308ad6b1db</errorID>
      <errorWord>里</errorWord>
      <group>L1_Word</group>
      <groupName>字词问题</groupName>
      <ability>L2_Typo</ability>
      <abilityName>字词错误</abilityName>
      <candidateList>
        <item>中</item>
      </candidateList>
      <explain>存在字形相近字词的误用。</explain>
      <paraID> 146EFD9</paraID>
      <start>146</start>
      <end>147</end>
      <status>modified</status>
      <modifiedWord>中</modifiedWord>
      <trackRevisions>false</trackRevisions>
    </reviewItem>
    <reviewItem>
      <errorID>919d56f3-8159-43c1-a920-547a9757b9b2</errorID>
      <errorWord>-</errorWord>
      <group>L1_Format</group>
      <groupName>格式问题</groupName>
      <ability>L2_HalfPunc</ability>
      <abilityName>全半角检查</abilityName>
      <candidateList>
        <item>－</item>
      </candidateList>
      <explain>文本全半角错误。</explain>
      <paraID>11C0722D</paraID>
      <start>228</start>
      <end>229</end>
      <status>modified</status>
      <modifiedWord>－</modifiedWord>
      <trackRevisions>false</trackRevisions>
    </reviewItem>
    <reviewItem>
      <errorID>756b1fe2-b77f-4640-ba0c-f69e26b71350</errorID>
      <errorWord>-</errorWord>
      <group>L1_Format</group>
      <groupName>格式问题</groupName>
      <ability>L2_HalfPunc</ability>
      <abilityName>全半角检查</abilityName>
      <candidateList>
        <item>－</item>
      </candidateList>
      <explain>文本全半角错误。</explain>
      <paraID>11C0722D</paraID>
      <start>231</start>
      <end>232</end>
      <status>modified</status>
      <modifiedWord>－</modifiedWord>
      <trackRevisions>false</trackRevisions>
    </reviewItem>
    <reviewItem>
      <errorID>49f7e375-ab9e-4dbf-befc-bc05d6b51959</errorID>
      <errorWord>-</errorWord>
      <group>L1_Format</group>
      <groupName>格式问题</groupName>
      <ability>L2_HalfPunc</ability>
      <abilityName>全半角检查</abilityName>
      <candidateList>
        <item>－</item>
      </candidateList>
      <explain>文本全半角错误。</explain>
      <paraID>11C0722D</paraID>
      <start>234</start>
      <end>235</end>
      <status>modified</status>
      <modifiedWord>－</modifiedWord>
      <trackRevisions>false</trackRevisions>
    </reviewItem>
    <reviewItem>
      <errorID>41f1dacf-23f0-4ae4-86ad-cb433700e19b</errorID>
      <errorWord>学业成绩成</errorWord>
      <group>L1_Word</group>
      <groupName>字词问题</groupName>
      <ability>L2_Typo</ability>
      <abilityName>字词错误</abilityName>
      <candidateList>
        <item>学业成绩</item>
      </candidateList>
      <explain/>
      <paraID>110716D2</paraID>
      <start>361</start>
      <end>365</end>
      <status>modified</status>
      <modifiedWord>学业成绩</modifiedWord>
      <trackRevisions>false</trackRevisions>
    </reviewItem>
    <reviewItem>
      <errorID>f4a0fec0-e59b-49a1-9cc4-5777947df6a8</errorID>
      <errorWord>-</errorWord>
      <group>L1_Format</group>
      <groupName>格式问题</groupName>
      <ability>L2_HalfPunc</ability>
      <abilityName>全半角检查</abilityName>
      <candidateList>
        <item>－</item>
      </candidateList>
      <explain>文本全半角错误。</explain>
      <paraID> F96F944</paraID>
      <start>19</start>
      <end>20</end>
      <status>modified</status>
      <modifiedWord>－</modifiedWord>
      <trackRevisions>false</trackRevisions>
    </reviewItem>
    <reviewItem>
      <errorID>3a89ec8b-f9ac-4b9d-a652-9b9b6517e0c5</errorID>
      <errorWord>止是</errorWord>
      <group>L1_Word</group>
      <groupName>字词问题</groupName>
      <ability>L2_Typo</ability>
      <abilityName>字词错误</abilityName>
      <candidateList>
        <item>只是</item>
      </candidateList>
      <explain/>
      <paraID> 224CD78</paraID>
      <start>125</start>
      <end>127</end>
      <status>modified</status>
      <modifiedWord>只是</modifiedWord>
      <trackRevisions>false</trackRevisions>
    </reviewItem>
    <reviewItem>
      <errorID>1ac5f7ca-f520-45e0-bbe7-8d4336d25d96</errorID>
      <errorWord>人们</errorWord>
      <group>L1_Word</group>
      <groupName>字词问题</groupName>
      <ability>L2_Typo</ability>
      <abilityName>字词错误</abilityName>
      <candidateList>
        <item>人</item>
      </candidateList>
      <explain>〈名〉❶能制造工具并使用工具进行劳动的高等动物：男～｜女～｜～们｜～类。❷每人；一般人：～手一册｜～所共知。❸指成年人：长大成～。❹指某种人：工～｜军～｜主～｜介绍～。❺别人：～云亦云｜待～诚恳。❻指人的品质、性格或名誉：丢～｜这个同志～很好｜他～老实。❼指人的身体或意识：这两天～不大舒服｜送到医院～已经昏迷过去了。</explain>
      <paraID> D6978DE</paraID>
      <start>210</start>
      <end>211</end>
      <status>modified</status>
      <modifiedWord>人</modifiedWord>
      <trackRevisions>false</trackRevisions>
    </reviewItem>
    <reviewItem>
      <errorID>6714bc05-f30f-45d1-b7ed-7d35874f614c</errorID>
      <errorWord>人尽</errorWord>
      <group>L1_Word</group>
      <groupName>字词问题</groupName>
      <ability>L2_Typo</ability>
      <abilityName>字词错误</abilityName>
      <candidateList>
        <item>尽人</item>
      </candidateList>
      <explain/>
      <paraID> D6978DE</paraID>
      <start>279</start>
      <end>281</end>
      <status>ignored</status>
      <modifiedWord/>
      <trackRevisions>false</trackRevisions>
    </reviewItem>
    <reviewItem>
      <errorID>18584ce1-56b7-4871-898e-9984548fd901</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354FB229</paraID>
      <start>99</start>
      <end>100</end>
      <status>ignored</status>
      <modifiedWord/>
      <trackRevisions>false</trackRevisions>
    </reviewItem>
    <reviewItem>
      <errorID>da40b9b0-b58a-4031-8c73-70cec4cf4341</errorID>
      <errorWord>.</errorWord>
      <group>L1_Format</group>
      <groupName>格式问题</groupName>
      <ability>L2_HalfPunc</ability>
      <abilityName>全半角检查</abilityName>
      <candidateList>
        <item>。</item>
      </candidateList>
      <explain>文本全半角错误。</explain>
      <paraID>4574E081</paraID>
      <start>12</start>
      <end>13</end>
      <status>ignored</status>
      <modifiedWord/>
      <trackRevisions>false</trackRevisions>
    </reviewItem>
    <reviewItem>
      <errorID>bef04178-1e78-4592-8574-e37992f48616</errorID>
      <errorWord>"</errorWord>
      <group>L1_Format</group>
      <groupName>格式问题</groupName>
      <ability>L2_HalfPunc</ability>
      <abilityName>全半角检查</abilityName>
      <candidateList>
        <item>“</item>
      </candidateList>
      <explain>文本全半角错误。</explain>
      <paraID>4574E081</paraID>
      <start>16</start>
      <end>17</end>
      <status>modified</status>
      <modifiedWord>“</modifiedWord>
      <trackRevisions>false</trackRevisions>
    </reviewItem>
    <reviewItem>
      <errorID>75b4f357-2299-49ad-9ece-20ab3fc4635c</errorID>
      <errorWord>"</errorWord>
      <group>L1_Format</group>
      <groupName>格式问题</groupName>
      <ability>L2_HalfPunc</ability>
      <abilityName>全半角检查</abilityName>
      <candidateList>
        <item>”</item>
      </candidateList>
      <explain>文本全半角错误。</explain>
      <paraID>4574E081</paraID>
      <start>19</start>
      <end>20</end>
      <status>modified</status>
      <modifiedWord>”</modifiedWord>
      <trackRevisions>false</trackRevisions>
    </reviewItem>
    <reviewItem>
      <errorID>f4ca333e-2087-42c5-91e9-8c53484db39b</errorID>
      <errorWord>,</errorWord>
      <group>L1_Format</group>
      <groupName>格式问题</groupName>
      <ability>L2_HalfPunc</ability>
      <abilityName>全半角检查</abilityName>
      <candidateList>
        <item>，</item>
      </candidateList>
      <explain>文本全半角错误。</explain>
      <paraID>4574E081</paraID>
      <start>42</start>
      <end>43</end>
      <status>ignored</status>
      <modifiedWord/>
      <trackRevisions>false</trackRevisions>
    </reviewItem>
    <reviewItem>
      <errorID>fde68fa3-2225-4c25-a65d-9e7f7c0e089d</errorID>
      <errorWord>,</errorWord>
      <group>L1_Format</group>
      <groupName>格式问题</groupName>
      <ability>L2_HalfPunc</ability>
      <abilityName>全半角检查</abilityName>
      <candidateList>
        <item>，</item>
      </candidateList>
      <explain>文本全半角错误。</explain>
      <paraID>77EE530D</paraID>
      <start>7</start>
      <end>8</end>
      <status>ignored</status>
      <modifiedWord/>
      <trackRevisions>false</trackRevisions>
    </reviewItem>
    <reviewItem>
      <errorID>b9609c63-2b92-4d91-8908-71910581992f</errorID>
      <errorWord>.</errorWord>
      <group>L1_Format</group>
      <groupName>格式问题</groupName>
      <ability>L2_HalfPunc</ability>
      <abilityName>全半角检查</abilityName>
      <candidateList>
        <item>。</item>
      </candidateList>
      <explain>文本全半角错误。</explain>
      <paraID>77EE530D</paraID>
      <start>12</start>
      <end>13</end>
      <status>ignored</status>
      <modifiedWord/>
      <trackRevisions>false</trackRevisions>
    </reviewItem>
    <reviewItem>
      <errorID>97c3bbea-66c6-4799-940f-7cb48e900316</errorID>
      <errorWord>"</errorWord>
      <group>L1_Format</group>
      <groupName>格式问题</groupName>
      <ability>L2_HalfPunc</ability>
      <abilityName>全半角检查</abilityName>
      <candidateList>
        <item>“</item>
      </candidateList>
      <explain>文本全半角错误。</explain>
      <paraID>77EE530D</paraID>
      <start>36</start>
      <end>37</end>
      <status>modified</status>
      <modifiedWord>“</modifiedWord>
      <trackRevisions>false</trackRevisions>
    </reviewItem>
    <reviewItem>
      <errorID>e29b981a-987b-4e74-b59a-bd94bdab8fee</errorID>
      <errorWord>"</errorWord>
      <group>L1_Format</group>
      <groupName>格式问题</groupName>
      <ability>L2_HalfPunc</ability>
      <abilityName>全半角检查</abilityName>
      <candidateList>
        <item>”</item>
      </candidateList>
      <explain>文本全半角错误。</explain>
      <paraID>77EE530D</paraID>
      <start>41</start>
      <end>42</end>
      <status>modified</status>
      <modifiedWord>”</modifiedWord>
      <trackRevisions>false</trackRevisions>
    </reviewItem>
    <reviewItem>
      <errorID>a8b542dd-29df-4339-a649-52137e4db548</errorID>
      <errorWord>,</errorWord>
      <group>L1_Format</group>
      <groupName>格式问题</groupName>
      <ability>L2_HalfPunc</ability>
      <abilityName>全半角检查</abilityName>
      <candidateList>
        <item>，</item>
      </candidateList>
      <explain>文本全半角错误。</explain>
      <paraID>6730400B</paraID>
      <start>7</start>
      <end>8</end>
      <status>ignored</status>
      <modifiedWord/>
      <trackRevisions>false</trackRevisions>
    </reviewItem>
    <reviewItem>
      <errorID>e36a99ef-686b-46c7-8723-88fd2cdd37ff</errorID>
      <errorWord>.</errorWord>
      <group>L1_Format</group>
      <groupName>格式问题</groupName>
      <ability>L2_HalfPunc</ability>
      <abilityName>全半角检查</abilityName>
      <candidateList>
        <item>。</item>
      </candidateList>
      <explain>文本全半角错误。</explain>
      <paraID>6730400B</paraID>
      <start>11</start>
      <end>12</end>
      <status>ignored</status>
      <modifiedWord/>
      <trackRevisions>false</trackRevisions>
    </reviewItem>
    <reviewItem>
      <errorID>9695e3ad-9b20-4ab7-9c25-e2d218747737</errorID>
      <errorWord>"</errorWord>
      <group>L1_Format</group>
      <groupName>格式问题</groupName>
      <ability>L2_HalfPunc</ability>
      <abilityName>全半角检查</abilityName>
      <candidateList>
        <item>“</item>
      </candidateList>
      <explain>文本全半角错误。</explain>
      <paraID>6730400B</paraID>
      <start>13</start>
      <end>14</end>
      <status>modified</status>
      <modifiedWord>“</modifiedWord>
      <trackRevisions>false</trackRevisions>
    </reviewItem>
    <reviewItem>
      <errorID>aa66dd6b-dfa7-454e-b5d8-623fd4fedeea</errorID>
      <errorWord>"</errorWord>
      <group>L1_Format</group>
      <groupName>格式问题</groupName>
      <ability>L2_HalfPunc</ability>
      <abilityName>全半角检查</abilityName>
      <candidateList>
        <item>”</item>
      </candidateList>
      <explain>文本全半角错误。</explain>
      <paraID>6730400B</paraID>
      <start>16</start>
      <end>17</end>
      <status>modified</status>
      <modifiedWord>”</modifiedWord>
      <trackRevisions>false</trackRevisions>
    </reviewItem>
  </reviewItems>
  <config/>
</contractReview>
</file>

<file path=customXml/itemProps1.xml><?xml version="1.0" encoding="utf-8"?>
<ds:datastoreItem xmlns:ds="http://schemas.openxmlformats.org/officeDocument/2006/customXml" ds:itemID="{4be7c0f7-4d67-44fa-87ce-d5a9c92d68d7}">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10720</Words>
  <Characters>11424</Characters>
  <Lines>0</Lines>
  <Paragraphs>0</Paragraphs>
  <TotalTime>3</TotalTime>
  <ScaleCrop>false</ScaleCrop>
  <LinksUpToDate>false</LinksUpToDate>
  <CharactersWithSpaces>11596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2024-04-29T16:37:00Z</dcterms:created>
  <dc:creator>Lenovo</dc:creator>
  <cp:lastModifiedBy>赣北庐陵人</cp:lastModifiedBy>
  <dcterms:modified xsi:type="dcterms:W3CDTF">2025-12-29T11:51:42Z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5D2E3022E8864F5CA6F012A86AC5938B_12</vt:lpwstr>
  </property>
  <property fmtid="{D5CDD505-2E9C-101B-9397-08002B2CF9AE}" pid="4" name="KSOTemplateDocerSaveRecord">
    <vt:lpwstr>eyJoZGlkIjoiYjkyZmNhZmMwYTRkMzdjNDc0ZDBiODA4ZTNmNjg2YzYiLCJ1c2VySWQiOiIxMTY4Mzk1OTQ0In0=</vt:lpwstr>
  </property>
</Properties>
</file>