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B9638A" w14:textId="77777777" w:rsidR="00626858" w:rsidRDefault="00083DF2">
      <w:pPr>
        <w:pStyle w:val="normal0"/>
      </w:pPr>
      <w:r>
        <w:t>Universidad del Valle de Guatemala</w:t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  <w:t>Pablo Díaz 13203</w:t>
      </w:r>
      <w:r>
        <w:br/>
        <w:t>Métodos Numéricos</w:t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  <w:t>Adolfo Morales 13014</w:t>
      </w:r>
      <w:r>
        <w:br/>
        <w:t>Ing. Eugenio Aristondo</w:t>
      </w:r>
      <w:r w:rsidR="005453BB">
        <w:t xml:space="preserve"> </w:t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</w:r>
      <w:r w:rsidR="005453BB">
        <w:tab/>
        <w:t>Angel Morales 13332</w:t>
      </w:r>
    </w:p>
    <w:p w14:paraId="422CA8EF" w14:textId="77777777" w:rsidR="00626858" w:rsidRDefault="00626858">
      <w:pPr>
        <w:pStyle w:val="normal0"/>
      </w:pPr>
    </w:p>
    <w:p w14:paraId="46599FC8" w14:textId="77777777" w:rsidR="005453BB" w:rsidRDefault="005453BB">
      <w:pPr>
        <w:pStyle w:val="normal0"/>
        <w:sectPr w:rsidR="005453BB" w:rsidSect="005453BB">
          <w:pgSz w:w="12240" w:h="15840"/>
          <w:pgMar w:top="1440" w:right="1440" w:bottom="1440" w:left="1440" w:header="720" w:footer="720" w:gutter="0"/>
          <w:pgNumType w:start="1"/>
          <w:cols w:space="709"/>
        </w:sectPr>
      </w:pPr>
    </w:p>
    <w:p w14:paraId="77539604" w14:textId="77777777" w:rsidR="00626858" w:rsidRDefault="00626858">
      <w:pPr>
        <w:pStyle w:val="normal0"/>
      </w:pPr>
    </w:p>
    <w:p w14:paraId="5CAF19E7" w14:textId="77777777" w:rsidR="00626858" w:rsidRDefault="00083DF2">
      <w:pPr>
        <w:pStyle w:val="normal0"/>
        <w:jc w:val="center"/>
      </w:pPr>
      <w:r>
        <w:t>Proyecto # 1</w:t>
      </w:r>
    </w:p>
    <w:p w14:paraId="448195E6" w14:textId="77777777" w:rsidR="00626858" w:rsidRDefault="00626858">
      <w:pPr>
        <w:pStyle w:val="normal0"/>
        <w:jc w:val="center"/>
      </w:pPr>
    </w:p>
    <w:p w14:paraId="3A60705F" w14:textId="77777777" w:rsidR="00626858" w:rsidRDefault="00626858">
      <w:pPr>
        <w:pStyle w:val="normal0"/>
        <w:jc w:val="right"/>
      </w:pPr>
    </w:p>
    <w:p w14:paraId="20C3C1DB" w14:textId="77777777" w:rsidR="00626858" w:rsidRDefault="00626858">
      <w:pPr>
        <w:pStyle w:val="normal0"/>
        <w:jc w:val="right"/>
      </w:pPr>
    </w:p>
    <w:p w14:paraId="10F0C421" w14:textId="77777777" w:rsidR="00626858" w:rsidRDefault="00083DF2" w:rsidP="005453BB">
      <w:pPr>
        <w:pStyle w:val="Subtitle"/>
        <w:contextualSpacing w:val="0"/>
        <w:jc w:val="both"/>
      </w:pPr>
      <w:bookmarkStart w:id="0" w:name="h.6hpw98d8xfaq" w:colFirst="0" w:colLast="0"/>
      <w:bookmarkEnd w:id="0"/>
      <w:r>
        <w:t>Resumen</w:t>
      </w:r>
    </w:p>
    <w:p w14:paraId="7FA0EA18" w14:textId="77777777" w:rsidR="00626858" w:rsidRDefault="00083DF2" w:rsidP="005453BB">
      <w:pPr>
        <w:pStyle w:val="normal0"/>
        <w:jc w:val="both"/>
      </w:pPr>
      <w:r>
        <w:t>Para este proyecto se buscó aplicar lo aprendido en el curso de Métodos Numéricos a un problema financiero real, donde era necesario, dados 4 préstamos de 3 bancos con tasas variables y fijas, encontrar el préstamo a 20 años donde se tuviera que pagar una menor cantidad para facilidad del cliente, se obtuvo la solución utilizando 3 calculadora de préstamos y se concluyó que el mejor préstamo ofrecido era el de cuota variable ofrecido por el Interbanco a un crédito de consumo con un total a pagar de Q23,436,979.17. Además se tomó en cuenta otro posible aspecto de este préstamo, donde el cliente lo solicita para invertirlo en un proyecto dada una caja de flujo, también a 20 años, para el cual le fue calculado el VPN Y TEA para cada préstamo y el TIR de todo el proyecto, obteniendo un TIR de 16.79%; un TEA de 14.22% correspondiente al mayor VPN de Q1,303,503.90 del Crédito Hipotecario del Interbanco. Por lo tanto se concluye que para un préstamo la mejor opción es el crédito por consumo del Interbanco y para un préstamos invertido en un proyecto la mejor elección es el crédito hipotecario del Interbanco.</w:t>
      </w:r>
    </w:p>
    <w:p w14:paraId="5B419F31" w14:textId="77777777" w:rsidR="00626858" w:rsidRDefault="00626858">
      <w:pPr>
        <w:pStyle w:val="normal0"/>
      </w:pPr>
    </w:p>
    <w:p w14:paraId="7F84FA08" w14:textId="77777777" w:rsidR="00626858" w:rsidRDefault="00083DF2">
      <w:pPr>
        <w:pStyle w:val="Subtitle"/>
        <w:contextualSpacing w:val="0"/>
      </w:pPr>
      <w:bookmarkStart w:id="1" w:name="h.7rjqezb7xve" w:colFirst="0" w:colLast="0"/>
      <w:bookmarkEnd w:id="1"/>
      <w:r>
        <w:t>Palabras Clave</w:t>
      </w:r>
    </w:p>
    <w:p w14:paraId="2B78FFF1" w14:textId="77777777" w:rsidR="00626858" w:rsidRDefault="00083DF2">
      <w:pPr>
        <w:pStyle w:val="normal0"/>
      </w:pPr>
      <w:r>
        <w:t>Anualidad, amortización, valor actual, valor actual neto y tasa interna de retorno.</w:t>
      </w:r>
    </w:p>
    <w:p w14:paraId="5BFF7DEA" w14:textId="77777777" w:rsidR="00626858" w:rsidRDefault="00626858">
      <w:pPr>
        <w:pStyle w:val="normal0"/>
      </w:pPr>
    </w:p>
    <w:p w14:paraId="738E7124" w14:textId="77777777" w:rsidR="00626858" w:rsidRDefault="00083DF2">
      <w:pPr>
        <w:pStyle w:val="Subtitle"/>
        <w:contextualSpacing w:val="0"/>
      </w:pPr>
      <w:bookmarkStart w:id="2" w:name="h.j63r46ifp9tc" w:colFirst="0" w:colLast="0"/>
      <w:bookmarkEnd w:id="2"/>
      <w:r>
        <w:t>Objetivos</w:t>
      </w:r>
    </w:p>
    <w:p w14:paraId="3A976AF0" w14:textId="77777777" w:rsidR="00626858" w:rsidRDefault="00083DF2" w:rsidP="005453BB">
      <w:pPr>
        <w:pStyle w:val="normal0"/>
        <w:numPr>
          <w:ilvl w:val="0"/>
          <w:numId w:val="6"/>
        </w:numPr>
        <w:ind w:hanging="360"/>
        <w:contextualSpacing/>
        <w:jc w:val="both"/>
      </w:pPr>
      <w:r>
        <w:t>Aplicar métodos numéricos a problemas reales y resolverlos mediante ecuaciones o sistemas de ecuaciones.</w:t>
      </w:r>
    </w:p>
    <w:p w14:paraId="5DEE5293" w14:textId="1C974DB2" w:rsidR="00626858" w:rsidRDefault="00083DF2" w:rsidP="005453BB">
      <w:pPr>
        <w:pStyle w:val="normal0"/>
        <w:numPr>
          <w:ilvl w:val="0"/>
          <w:numId w:val="6"/>
        </w:numPr>
        <w:ind w:hanging="360"/>
        <w:contextualSpacing/>
        <w:jc w:val="both"/>
      </w:pPr>
      <w:r>
        <w:t>Agrupar los conocimientos adquiridos y utilizarlos para la resolución del problema, teniendo así distintos en</w:t>
      </w:r>
      <w:r w:rsidR="00C241F6">
        <w:t>foques tanto analiticos como grá</w:t>
      </w:r>
      <w:r>
        <w:t>ficos.</w:t>
      </w:r>
    </w:p>
    <w:p w14:paraId="1AE2C5FE" w14:textId="77777777" w:rsidR="00626858" w:rsidRDefault="00083DF2" w:rsidP="005453BB">
      <w:pPr>
        <w:pStyle w:val="normal0"/>
        <w:numPr>
          <w:ilvl w:val="0"/>
          <w:numId w:val="6"/>
        </w:numPr>
        <w:ind w:hanging="360"/>
        <w:contextualSpacing/>
        <w:jc w:val="both"/>
      </w:pPr>
      <w:r>
        <w:t>Ofrecer la mejor opción a un cliente que desee hacer un préstamos bancario.</w:t>
      </w:r>
    </w:p>
    <w:p w14:paraId="08D26D08" w14:textId="77777777" w:rsidR="00626858" w:rsidRDefault="00626858">
      <w:pPr>
        <w:pStyle w:val="normal0"/>
      </w:pPr>
    </w:p>
    <w:p w14:paraId="0BAD7186" w14:textId="77777777" w:rsidR="00626858" w:rsidRDefault="00083DF2">
      <w:pPr>
        <w:pStyle w:val="Subtitle"/>
        <w:contextualSpacing w:val="0"/>
      </w:pPr>
      <w:bookmarkStart w:id="3" w:name="h.jjlghf5tl5nz" w:colFirst="0" w:colLast="0"/>
      <w:bookmarkEnd w:id="3"/>
      <w:r>
        <w:t>Introducción</w:t>
      </w:r>
    </w:p>
    <w:p w14:paraId="17E8DC34" w14:textId="77777777" w:rsidR="00626858" w:rsidRDefault="00083DF2">
      <w:pPr>
        <w:pStyle w:val="normal0"/>
        <w:jc w:val="both"/>
      </w:pPr>
      <w:r>
        <w:t>Anualidad: Pago periódico o venta de una determinada cantidad, sea deuda o fondo por acumularse (deuda) o depositar para formar capital.</w:t>
      </w:r>
    </w:p>
    <w:p w14:paraId="5B54650C" w14:textId="77777777" w:rsidR="00626858" w:rsidRDefault="00626858">
      <w:pPr>
        <w:pStyle w:val="normal0"/>
        <w:jc w:val="both"/>
      </w:pPr>
    </w:p>
    <w:p w14:paraId="4FB55300" w14:textId="77777777" w:rsidR="00626858" w:rsidRDefault="00083DF2">
      <w:pPr>
        <w:pStyle w:val="normal0"/>
        <w:jc w:val="both"/>
      </w:pPr>
      <w:r>
        <w:t xml:space="preserve">Amortización: Proceso para liquidar gradualmente una deuda o un préstamo a través de pagos periódicos que cubren intereses y una parte del capital, se rebaja periódicamente el capital hasta llegar a cero, cuando se termina de pagar la deuda o préstamo. En el sistema de amortización se debe determinar el valor de la suma a pagar periódicamente (pago o renta), para cubrir primero los intereses  y luego una parte del capital, de tal manera que al vencer el plazo, se encuentre liquidada la deuda. Sea </w:t>
      </w:r>
      <m:oMath>
        <m:r>
          <w:rPr>
            <w:rFonts w:ascii="Cambria Math" w:hAnsi="Cambria Math"/>
          </w:rPr>
          <m:t>n</m:t>
        </m:r>
      </m:oMath>
      <w:r>
        <w:t xml:space="preserve"> el monto a pagar mensualmente y sea </w:t>
      </w:r>
      <m:oMath>
        <m:r>
          <w:rPr>
            <w:rFonts w:ascii="Cambria Math" w:hAnsi="Cambria Math"/>
          </w:rPr>
          <m:t>m</m:t>
        </m:r>
      </m:oMath>
      <w:r>
        <w:t xml:space="preserve"> el valor de los intereses generados periódicamente (por el hecho de ser un préstamo o deuda) </w:t>
      </w:r>
      <w:r>
        <w:lastRenderedPageBreak/>
        <w:t xml:space="preserve">entonces </w:t>
      </w:r>
      <m:oMath>
        <m:r>
          <w:rPr>
            <w:rFonts w:ascii="Cambria Math" w:hAnsi="Cambria Math"/>
          </w:rPr>
          <m:t>n&gt;m</m:t>
        </m:r>
      </m:oMath>
      <w:r>
        <w:t xml:space="preserve"> porque la diferencia tiene que rebajar el capital prestado.</w:t>
      </w:r>
    </w:p>
    <w:p w14:paraId="7A3E1870" w14:textId="77777777" w:rsidR="00626858" w:rsidRDefault="00626858">
      <w:pPr>
        <w:pStyle w:val="normal0"/>
        <w:jc w:val="both"/>
      </w:pPr>
    </w:p>
    <w:p w14:paraId="3B3C810A" w14:textId="77777777" w:rsidR="00626858" w:rsidRDefault="00083DF2">
      <w:pPr>
        <w:pStyle w:val="normal0"/>
        <w:jc w:val="both"/>
      </w:pPr>
      <w:r>
        <w:t>Fondo de amortización: Es la acumulación de sumas de dinero que se van acumulando por abonos periódicos que devengan intereses.</w:t>
      </w:r>
    </w:p>
    <w:p w14:paraId="1B2F3C52" w14:textId="77777777" w:rsidR="00626858" w:rsidRDefault="00626858">
      <w:pPr>
        <w:pStyle w:val="normal0"/>
        <w:jc w:val="both"/>
      </w:pPr>
    </w:p>
    <w:p w14:paraId="7E29C78A" w14:textId="77777777" w:rsidR="00626858" w:rsidRDefault="00083DF2">
      <w:pPr>
        <w:pStyle w:val="normal0"/>
        <w:jc w:val="both"/>
      </w:pPr>
      <w:r>
        <w:t>Valor actual neto: Es el proceso mediante el cual se calcula el valor presente o actual de un número de flujos de caja, dada una inversión.</w:t>
      </w:r>
    </w:p>
    <w:p w14:paraId="1C2EA80F" w14:textId="77777777" w:rsidR="00083DF2" w:rsidRDefault="00083DF2">
      <w:pPr>
        <w:pStyle w:val="normal0"/>
        <w:jc w:val="both"/>
      </w:pPr>
    </w:p>
    <w:p w14:paraId="44F21440" w14:textId="77777777" w:rsidR="00083DF2" w:rsidRDefault="00083DF2">
      <w:pPr>
        <w:pStyle w:val="normal0"/>
        <w:jc w:val="both"/>
      </w:pPr>
    </w:p>
    <w:p w14:paraId="23D8EA5A" w14:textId="77777777" w:rsidR="00626858" w:rsidRDefault="00083DF2">
      <w:pPr>
        <w:pStyle w:val="normal0"/>
        <w:jc w:val="both"/>
      </w:pPr>
      <w:r>
        <w:t>A continuación se presentan algunas ecuaciones útiles para ciertas situaciones financieras.</w:t>
      </w:r>
    </w:p>
    <w:p w14:paraId="53A343DA" w14:textId="77777777" w:rsidR="00626858" w:rsidRDefault="00083DF2">
      <w:pPr>
        <w:pStyle w:val="Heading5"/>
        <w:contextualSpacing w:val="0"/>
      </w:pPr>
      <w:bookmarkStart w:id="4" w:name="h.vxht192yu71w" w:colFirst="0" w:colLast="0"/>
      <w:bookmarkEnd w:id="4"/>
      <w:r>
        <w:t>Saldo Final:</w:t>
      </w:r>
    </w:p>
    <w:p w14:paraId="396EF523" w14:textId="77777777" w:rsidR="00626858" w:rsidRDefault="00083DF2">
      <w:pPr>
        <w:pStyle w:val="normal0"/>
        <w:jc w:val="center"/>
      </w:pPr>
      <w:r>
        <w:tab/>
      </w:r>
      <m:oMath>
        <m:r>
          <w:rPr>
            <w:rFonts w:ascii="Cambria Math" w:hAnsi="Cambria Math"/>
            <w:sz w:val="32"/>
            <w:szCs w:val="32"/>
          </w:rPr>
          <m:t>S = R[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>] (1)</m:t>
        </m:r>
      </m:oMath>
    </w:p>
    <w:p w14:paraId="70BF0B9D" w14:textId="77777777" w:rsidR="00626858" w:rsidRDefault="00083DF2">
      <w:pPr>
        <w:pStyle w:val="normal0"/>
        <w:jc w:val="center"/>
      </w:pPr>
      <w:r>
        <w:t>Ecuación No. 1: Cálculo del Saldo Final</w:t>
      </w:r>
    </w:p>
    <w:p w14:paraId="6C2D864F" w14:textId="77777777" w:rsidR="00626858" w:rsidRDefault="00083DF2">
      <w:pPr>
        <w:pStyle w:val="normal0"/>
      </w:pPr>
      <w:r>
        <w:t>En Donde:</w:t>
      </w:r>
    </w:p>
    <w:p w14:paraId="298683B4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S</m:t>
        </m:r>
      </m:oMath>
      <w:r>
        <w:t xml:space="preserve"> = Saldo final</w:t>
      </w:r>
    </w:p>
    <w:p w14:paraId="287765BC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R</m:t>
        </m:r>
      </m:oMath>
      <w:r>
        <w:t xml:space="preserve"> = Renta</w:t>
      </w:r>
    </w:p>
    <w:p w14:paraId="0786B2DE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i</m:t>
        </m:r>
      </m:oMath>
      <w:r>
        <w:t xml:space="preserve"> = Tasa de interés</w:t>
      </w:r>
    </w:p>
    <w:p w14:paraId="5588B2C2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n</m:t>
        </m:r>
      </m:oMath>
      <w:r>
        <w:t xml:space="preserve"> = Períodos</w:t>
      </w:r>
    </w:p>
    <w:p w14:paraId="783E9A95" w14:textId="77777777" w:rsidR="00626858" w:rsidRDefault="00083DF2">
      <w:pPr>
        <w:pStyle w:val="Heading5"/>
        <w:contextualSpacing w:val="0"/>
      </w:pPr>
      <w:bookmarkStart w:id="5" w:name="h.c0mfgw2oaaub" w:colFirst="0" w:colLast="0"/>
      <w:bookmarkEnd w:id="5"/>
      <w:r>
        <w:t>Valor Actual:</w:t>
      </w:r>
    </w:p>
    <w:p w14:paraId="14BD4BBB" w14:textId="77777777" w:rsidR="00626858" w:rsidRDefault="00083DF2">
      <w:pPr>
        <w:pStyle w:val="normal0"/>
        <w:jc w:val="center"/>
      </w:pPr>
      <w:r>
        <w:tab/>
      </w:r>
      <m:oMath>
        <m:r>
          <w:rPr>
            <w:rFonts w:ascii="Cambria Math" w:hAnsi="Cambria Math"/>
            <w:sz w:val="32"/>
            <w:szCs w:val="32"/>
          </w:rPr>
          <m:t>A =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(2)</m:t>
        </m:r>
      </m:oMath>
    </w:p>
    <w:p w14:paraId="3D0EF351" w14:textId="77777777" w:rsidR="00626858" w:rsidRDefault="00083DF2">
      <w:pPr>
        <w:pStyle w:val="normal0"/>
        <w:jc w:val="center"/>
      </w:pPr>
      <w:r>
        <w:t>Ecuación No. 2: Cálculo del Valor Actual</w:t>
      </w:r>
    </w:p>
    <w:p w14:paraId="01992E9D" w14:textId="77777777" w:rsidR="00626858" w:rsidRDefault="00083DF2">
      <w:pPr>
        <w:pStyle w:val="normal0"/>
      </w:pPr>
      <w:r>
        <w:t>En Donde:</w:t>
      </w:r>
    </w:p>
    <w:p w14:paraId="6C9DFBBF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A</m:t>
        </m:r>
      </m:oMath>
      <w:r>
        <w:t xml:space="preserve"> = Valor actual</w:t>
      </w:r>
    </w:p>
    <w:p w14:paraId="03CFCFDE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R</m:t>
        </m:r>
      </m:oMath>
      <w:r>
        <w:t xml:space="preserve"> = Renta</w:t>
      </w:r>
    </w:p>
    <w:p w14:paraId="566631DE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i</m:t>
        </m:r>
      </m:oMath>
      <w:r>
        <w:t xml:space="preserve"> = Tasa de interés</w:t>
      </w:r>
    </w:p>
    <w:p w14:paraId="2993F0A9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n</m:t>
        </m:r>
      </m:oMath>
      <w:r>
        <w:t>= Períodos</w:t>
      </w:r>
    </w:p>
    <w:p w14:paraId="2B844329" w14:textId="77777777" w:rsidR="00626858" w:rsidRDefault="00083DF2">
      <w:pPr>
        <w:pStyle w:val="Heading5"/>
        <w:contextualSpacing w:val="0"/>
      </w:pPr>
      <w:bookmarkStart w:id="6" w:name="h.cf7qfjeui979" w:colFirst="0" w:colLast="0"/>
      <w:bookmarkEnd w:id="6"/>
      <w:r>
        <w:t>Cálculo del valor de depósito o renta periódica para constituir un fondo de valor futuro:</w:t>
      </w:r>
    </w:p>
    <w:p w14:paraId="0C11457A" w14:textId="77777777" w:rsidR="00626858" w:rsidRDefault="00083DF2">
      <w:pPr>
        <w:pStyle w:val="normal0"/>
        <w:jc w:val="center"/>
      </w:pPr>
      <m:oMath>
        <m:r>
          <w:rPr>
            <w:rFonts w:ascii="Cambria Math" w:hAnsi="Cambria Math"/>
            <w:sz w:val="32"/>
            <w:szCs w:val="32"/>
          </w:rPr>
          <m:t xml:space="preserve">R 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S*i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(1+i)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</m:t>
            </m:r>
          </m:den>
        </m:f>
      </m:oMath>
      <w:r w:rsidR="005453BB">
        <w:rPr>
          <w:sz w:val="32"/>
          <w:szCs w:val="32"/>
        </w:rPr>
        <w:t xml:space="preserve"> (3)</w:t>
      </w:r>
    </w:p>
    <w:p w14:paraId="0DA31B09" w14:textId="77777777" w:rsidR="00626858" w:rsidRDefault="00083DF2">
      <w:pPr>
        <w:pStyle w:val="normal0"/>
        <w:jc w:val="center"/>
      </w:pPr>
      <w:r>
        <w:t>Ecuación No. 3: Cálculo de Renta periódica.</w:t>
      </w:r>
    </w:p>
    <w:p w14:paraId="4550E736" w14:textId="77777777" w:rsidR="00626858" w:rsidRDefault="00083DF2">
      <w:pPr>
        <w:pStyle w:val="normal0"/>
      </w:pPr>
      <w:r>
        <w:lastRenderedPageBreak/>
        <w:t>Esta ecuación se obtiene de despejar R en la Ec. 1.</w:t>
      </w:r>
    </w:p>
    <w:p w14:paraId="4BC2CC45" w14:textId="77777777" w:rsidR="00626858" w:rsidRDefault="00083DF2">
      <w:pPr>
        <w:pStyle w:val="Heading5"/>
        <w:contextualSpacing w:val="0"/>
      </w:pPr>
      <w:bookmarkStart w:id="7" w:name="h.u37k14n5lx4p" w:colFirst="0" w:colLast="0"/>
      <w:bookmarkEnd w:id="7"/>
      <w:r>
        <w:t>Cálculo del valor de la cuota o pago periódico:</w:t>
      </w:r>
    </w:p>
    <w:p w14:paraId="0B23621D" w14:textId="77777777" w:rsidR="00626858" w:rsidRDefault="00083DF2">
      <w:pPr>
        <w:pStyle w:val="normal0"/>
        <w:jc w:val="center"/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 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A*i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1-(1+i)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(4)</m:t>
          </m:r>
        </m:oMath>
      </m:oMathPara>
    </w:p>
    <w:p w14:paraId="6777AD5A" w14:textId="77777777" w:rsidR="00626858" w:rsidRDefault="00083DF2">
      <w:pPr>
        <w:pStyle w:val="normal0"/>
        <w:jc w:val="center"/>
      </w:pPr>
      <w:r>
        <w:t>Ecuación No. 4: Cálculo del valor de la cuota</w:t>
      </w:r>
    </w:p>
    <w:p w14:paraId="75424616" w14:textId="77777777" w:rsidR="00626858" w:rsidRDefault="00083DF2">
      <w:pPr>
        <w:pStyle w:val="normal0"/>
      </w:pPr>
      <w:r>
        <w:t>En Donde:</w:t>
      </w:r>
    </w:p>
    <w:p w14:paraId="0A87A585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A</m:t>
        </m:r>
      </m:oMath>
      <w:r>
        <w:t xml:space="preserve"> = Valor del préstamo</w:t>
      </w:r>
    </w:p>
    <w:p w14:paraId="10E5859C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R</m:t>
        </m:r>
      </m:oMath>
      <w:r>
        <w:t xml:space="preserve"> = Renta o pago periódico</w:t>
      </w:r>
    </w:p>
    <w:p w14:paraId="50435E2E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i</m:t>
        </m:r>
      </m:oMath>
      <w:r>
        <w:t>= Tasa de interés</w:t>
      </w:r>
    </w:p>
    <w:p w14:paraId="4380E081" w14:textId="77777777" w:rsidR="00626858" w:rsidRDefault="00083DF2">
      <w:pPr>
        <w:pStyle w:val="normal0"/>
        <w:ind w:left="720"/>
      </w:pPr>
      <m:oMath>
        <m:r>
          <w:rPr>
            <w:rFonts w:ascii="Cambria Math" w:hAnsi="Cambria Math"/>
          </w:rPr>
          <m:t>n</m:t>
        </m:r>
      </m:oMath>
      <w:r>
        <w:t xml:space="preserve"> = Períodos</w:t>
      </w:r>
    </w:p>
    <w:p w14:paraId="42318DE1" w14:textId="77777777" w:rsidR="00626858" w:rsidRDefault="00083DF2">
      <w:pPr>
        <w:pStyle w:val="normal0"/>
      </w:pPr>
      <w:r>
        <w:t>Al aplicar R en Saldo final (Ec. 1) se obtiene el capital apagar.</w:t>
      </w:r>
    </w:p>
    <w:p w14:paraId="021CC27D" w14:textId="77777777" w:rsidR="00626858" w:rsidRDefault="00626858">
      <w:pPr>
        <w:pStyle w:val="normal0"/>
      </w:pPr>
    </w:p>
    <w:p w14:paraId="245DEF68" w14:textId="77777777" w:rsidR="00626858" w:rsidRDefault="00083DF2">
      <w:pPr>
        <w:pStyle w:val="normal0"/>
      </w:pPr>
      <w:r>
        <w:t>Si fuese necesario calcular la cuota sobre saldos (cuota variable) solamente es necesario dividir el total a pagar dentro de la cantidad de pagos. Para calcular la cuota variable es necesario sumar cada interés y el capital. Al aumentar la tasa de interés anula, se recalcula el pago utilizando el nuevo interés, el saldo del último periodo y la cantidad de pagos restantes.</w:t>
      </w:r>
    </w:p>
    <w:p w14:paraId="42B632E3" w14:textId="77777777" w:rsidR="00626858" w:rsidRDefault="00083DF2">
      <w:pPr>
        <w:pStyle w:val="Heading5"/>
        <w:contextualSpacing w:val="0"/>
        <w:jc w:val="both"/>
      </w:pPr>
      <w:bookmarkStart w:id="8" w:name="h.2jm9gkzcbuxd" w:colFirst="0" w:colLast="0"/>
      <w:bookmarkEnd w:id="8"/>
      <w:r>
        <w:t>Valor Neto Presente:</w:t>
      </w:r>
    </w:p>
    <w:p w14:paraId="62CB1198" w14:textId="77777777" w:rsidR="00626858" w:rsidRDefault="00083DF2">
      <w:pPr>
        <w:pStyle w:val="normal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V=</m:t>
          </m:r>
          <m:nary>
            <m:naryPr>
              <m:chr m:val="∑"/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(1+k)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(5)</m:t>
          </m:r>
        </m:oMath>
      </m:oMathPara>
    </w:p>
    <w:p w14:paraId="236ED9F9" w14:textId="77777777" w:rsidR="00626858" w:rsidRDefault="00083DF2">
      <w:pPr>
        <w:pStyle w:val="normal0"/>
        <w:jc w:val="center"/>
      </w:pPr>
      <w:r>
        <w:t>Ecuación No. 5: Cálculo del Valor Neto Presente</w:t>
      </w:r>
    </w:p>
    <w:p w14:paraId="6EACF28E" w14:textId="77777777" w:rsidR="00626858" w:rsidRDefault="00083DF2">
      <w:pPr>
        <w:pStyle w:val="normal0"/>
      </w:pPr>
      <w:r>
        <w:t xml:space="preserve">En Donde: </w:t>
      </w:r>
    </w:p>
    <w:p w14:paraId="7BE22E43" w14:textId="77777777" w:rsidR="00626858" w:rsidRDefault="00083DF2" w:rsidP="005453BB">
      <w:pPr>
        <w:pStyle w:val="normal0"/>
        <w:jc w:val="both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= Flujo de caja</w:t>
      </w:r>
    </w:p>
    <w:p w14:paraId="2F15CA22" w14:textId="77777777" w:rsidR="00626858" w:rsidRDefault="00083DF2" w:rsidP="005453BB">
      <w:pPr>
        <w:pStyle w:val="normal0"/>
        <w:jc w:val="both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 Desembolso inicial (Equivalente en t=0)</w:t>
      </w:r>
    </w:p>
    <w:p w14:paraId="71F855B0" w14:textId="77777777" w:rsidR="00626858" w:rsidRDefault="00083DF2" w:rsidP="005453BB">
      <w:pPr>
        <w:pStyle w:val="normal0"/>
        <w:jc w:val="both"/>
      </w:pPr>
      <w:r>
        <w:tab/>
      </w:r>
      <m:oMath>
        <m:r>
          <w:rPr>
            <w:rFonts w:ascii="Cambria Math" w:hAnsi="Cambria Math"/>
          </w:rPr>
          <m:t>n</m:t>
        </m:r>
      </m:oMath>
      <w:r>
        <w:t xml:space="preserve"> = Número de períodos considerados</w:t>
      </w:r>
    </w:p>
    <w:p w14:paraId="5EFC2AE2" w14:textId="45348EC1" w:rsidR="00626858" w:rsidRDefault="00083DF2" w:rsidP="005453BB">
      <w:pPr>
        <w:pStyle w:val="normal0"/>
        <w:jc w:val="both"/>
      </w:pPr>
      <w:r>
        <w:tab/>
      </w:r>
      <m:oMath>
        <m:r>
          <w:rPr>
            <w:rFonts w:ascii="Cambria Math" w:hAnsi="Cambria Math"/>
          </w:rPr>
          <m:t>k</m:t>
        </m:r>
      </m:oMath>
      <w:r w:rsidR="00343CED">
        <w:t xml:space="preserve"> = tasa de interés</w:t>
      </w:r>
    </w:p>
    <w:p w14:paraId="0B061A50" w14:textId="77777777" w:rsidR="005453BB" w:rsidRDefault="005453BB">
      <w:pPr>
        <w:pStyle w:val="normal0"/>
      </w:pPr>
    </w:p>
    <w:p w14:paraId="042C2C5C" w14:textId="77777777" w:rsidR="005453BB" w:rsidRDefault="005453BB">
      <w:pPr>
        <w:pStyle w:val="normal0"/>
      </w:pPr>
    </w:p>
    <w:p w14:paraId="2DAE68DD" w14:textId="77777777" w:rsidR="005453BB" w:rsidRDefault="005453BB">
      <w:pPr>
        <w:pStyle w:val="normal0"/>
      </w:pPr>
    </w:p>
    <w:p w14:paraId="16F9BCE8" w14:textId="77777777" w:rsidR="005453BB" w:rsidRDefault="005453BB">
      <w:pPr>
        <w:pStyle w:val="normal0"/>
      </w:pPr>
    </w:p>
    <w:p w14:paraId="05D0C2DD" w14:textId="77777777" w:rsidR="005453BB" w:rsidRDefault="005453BB">
      <w:pPr>
        <w:pStyle w:val="normal0"/>
      </w:pPr>
    </w:p>
    <w:p w14:paraId="34D03CB4" w14:textId="77777777" w:rsidR="00626858" w:rsidRDefault="00083DF2">
      <w:pPr>
        <w:pStyle w:val="normal0"/>
        <w:jc w:val="both"/>
      </w:pPr>
      <w:r>
        <w:t>El valor neto presente se puede interpretar de 3 maneras:</w:t>
      </w:r>
    </w:p>
    <w:tbl>
      <w:tblPr>
        <w:tblStyle w:val="a"/>
        <w:tblW w:w="4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2268"/>
        <w:gridCol w:w="1559"/>
      </w:tblGrid>
      <w:tr w:rsidR="00626858" w14:paraId="7A7484BA" w14:textId="77777777" w:rsidTr="00C241F6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8382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Valor Actual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DBF4" w14:textId="77777777" w:rsidR="00626858" w:rsidRDefault="00083DF2" w:rsidP="008C577A">
            <w:pPr>
              <w:pStyle w:val="normal0"/>
              <w:widowControl w:val="0"/>
              <w:spacing w:line="240" w:lineRule="auto"/>
              <w:ind w:left="-100"/>
              <w:jc w:val="center"/>
            </w:pPr>
            <w:r>
              <w:t>Interpretación</w:t>
            </w:r>
            <w:bookmarkStart w:id="9" w:name="_GoBack"/>
            <w:bookmarkEnd w:id="9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15A8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Decisión</w:t>
            </w:r>
          </w:p>
        </w:tc>
      </w:tr>
      <w:tr w:rsidR="00626858" w14:paraId="2617EE97" w14:textId="77777777" w:rsidTr="00C241F6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C456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V &lt; 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FF52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La inversión genera pérdidas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ABBB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Se recomienda concluir el proyecto</w:t>
            </w:r>
          </w:p>
        </w:tc>
      </w:tr>
      <w:tr w:rsidR="00626858" w14:paraId="157A2084" w14:textId="77777777" w:rsidTr="00C241F6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DF88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V = 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6BF3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La inversión no genera ganancia y pérdidas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39BE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Se recomienda concluir el proyecto</w:t>
            </w:r>
          </w:p>
        </w:tc>
      </w:tr>
      <w:tr w:rsidR="00626858" w14:paraId="68F36D85" w14:textId="77777777" w:rsidTr="00C241F6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306A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V &gt; 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F86C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La inversión genera ganancias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1DA1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Se recomienda continuar con proyecto</w:t>
            </w:r>
          </w:p>
        </w:tc>
      </w:tr>
    </w:tbl>
    <w:p w14:paraId="5DBD84D2" w14:textId="77777777" w:rsidR="00626858" w:rsidRDefault="00083DF2">
      <w:pPr>
        <w:pStyle w:val="normal0"/>
        <w:jc w:val="center"/>
      </w:pPr>
      <w:r>
        <w:t>Cuadro No. 1: Interpretación del Valor Actual (Presente Neto)</w:t>
      </w:r>
    </w:p>
    <w:p w14:paraId="4A9D4FA5" w14:textId="77777777" w:rsidR="00626858" w:rsidRDefault="00083DF2">
      <w:pPr>
        <w:pStyle w:val="Heading5"/>
        <w:contextualSpacing w:val="0"/>
      </w:pPr>
      <w:bookmarkStart w:id="10" w:name="h.5fx1bd68qgmh" w:colFirst="0" w:colLast="0"/>
      <w:bookmarkEnd w:id="10"/>
      <w:r>
        <w:t>Tasa Interna de Retorno:</w:t>
      </w:r>
    </w:p>
    <w:p w14:paraId="1005413D" w14:textId="4E6EEF93" w:rsidR="00626858" w:rsidRDefault="00083DF2" w:rsidP="00FF0EDE">
      <w:pPr>
        <w:pStyle w:val="normal0"/>
        <w:jc w:val="both"/>
      </w:pPr>
      <w:r>
        <w:t>También conocida como Tasa Interna de Rentabilidad (TIR), la cual se utiliza para analizar qué tan factible es realizar una inversión</w:t>
      </w:r>
      <w:r w:rsidR="00FF0EDE">
        <w:t>. También se puede interpretar como la tasa necesaria para recuperar la inversión o la tasa donde los ingresos son iguales a los gastos</w:t>
      </w:r>
      <w:r>
        <w:t>, igualando a 0 el VNP para así representarse por:</w:t>
      </w:r>
    </w:p>
    <w:p w14:paraId="34A481E6" w14:textId="77777777" w:rsidR="00626858" w:rsidRDefault="00083DF2">
      <w:pPr>
        <w:pStyle w:val="normal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0=</m:t>
          </m:r>
          <m:nary>
            <m:naryPr>
              <m:chr m:val="∑"/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(1+TIR)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(6)</m:t>
          </m:r>
        </m:oMath>
      </m:oMathPara>
    </w:p>
    <w:p w14:paraId="26182BFF" w14:textId="77777777" w:rsidR="00626858" w:rsidRDefault="00083DF2">
      <w:pPr>
        <w:pStyle w:val="normal0"/>
        <w:jc w:val="center"/>
      </w:pPr>
      <w:r>
        <w:t>Ecuación No. 6: Cálculo de la Tasa Interna de Retorno:</w:t>
      </w:r>
    </w:p>
    <w:p w14:paraId="085CAE81" w14:textId="77777777" w:rsidR="00626858" w:rsidRDefault="00083DF2">
      <w:pPr>
        <w:pStyle w:val="normal0"/>
      </w:pPr>
      <w:r>
        <w:t xml:space="preserve">En Donde: </w:t>
      </w:r>
    </w:p>
    <w:p w14:paraId="669F4EAC" w14:textId="77777777" w:rsidR="00626858" w:rsidRDefault="00083DF2">
      <w:pPr>
        <w:pStyle w:val="normal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= Flujo de caja</w:t>
      </w:r>
    </w:p>
    <w:p w14:paraId="089A0517" w14:textId="77777777" w:rsidR="00626858" w:rsidRDefault="00083DF2">
      <w:pPr>
        <w:pStyle w:val="normal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 Desembolso inicial (Equivalente en t=0)</w:t>
      </w:r>
    </w:p>
    <w:p w14:paraId="17C1E65A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n</m:t>
        </m:r>
      </m:oMath>
      <w:r>
        <w:t xml:space="preserve"> = Número de períodos considerados</w:t>
      </w:r>
    </w:p>
    <w:p w14:paraId="04AEB782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TIR</m:t>
        </m:r>
      </m:oMath>
      <w:r>
        <w:t xml:space="preserve"> = Tasa Interna de retorno, para la cual se despeja la ecuación.</w:t>
      </w:r>
    </w:p>
    <w:p w14:paraId="3DC29B2B" w14:textId="77777777" w:rsidR="00626858" w:rsidRDefault="00083DF2">
      <w:pPr>
        <w:pStyle w:val="Heading5"/>
        <w:contextualSpacing w:val="0"/>
      </w:pPr>
      <w:bookmarkStart w:id="11" w:name="h.mgng6oqcmtjw" w:colFirst="0" w:colLast="0"/>
      <w:bookmarkEnd w:id="11"/>
      <w:r>
        <w:lastRenderedPageBreak/>
        <w:t>Tasa de Interés Efectiva:</w:t>
      </w:r>
    </w:p>
    <w:p w14:paraId="6DC78926" w14:textId="77777777" w:rsidR="00626858" w:rsidRDefault="00083DF2">
      <w:pPr>
        <w:pStyle w:val="normal0"/>
      </w:pPr>
      <w:r>
        <w:t>También conocida como la Tasa Efectiva Anual (TEA) indica el costo o rendimiento de un producto.</w:t>
      </w:r>
    </w:p>
    <w:p w14:paraId="1AE5706A" w14:textId="77777777" w:rsidR="00626858" w:rsidRDefault="00083DF2">
      <w:pPr>
        <w:pStyle w:val="normal0"/>
        <w:jc w:val="center"/>
      </w:pPr>
      <m:oMathPara>
        <m:oMath>
          <m:r>
            <w:rPr>
              <w:rFonts w:ascii="Cambria Math" w:hAnsi="Cambria Math"/>
            </w:rPr>
            <m:t>TEA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F1664DA" w14:textId="77777777" w:rsidR="00626858" w:rsidRDefault="00083DF2">
      <w:pPr>
        <w:pStyle w:val="normal0"/>
        <w:jc w:val="center"/>
      </w:pPr>
      <w:r>
        <w:t>Ecuación No. 7: Cálculo del TEA</w:t>
      </w:r>
    </w:p>
    <w:p w14:paraId="4927F0F0" w14:textId="77777777" w:rsidR="00626858" w:rsidRDefault="00083DF2">
      <w:pPr>
        <w:pStyle w:val="normal0"/>
      </w:pPr>
      <w:r>
        <w:t xml:space="preserve">En Donde: </w:t>
      </w:r>
    </w:p>
    <w:p w14:paraId="1C52F6D7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TEA</m:t>
        </m:r>
      </m:oMath>
      <w:r>
        <w:t xml:space="preserve"> = Tasa de Interés Efectiva</w:t>
      </w:r>
    </w:p>
    <w:p w14:paraId="35D44CCE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j</m:t>
        </m:r>
      </m:oMath>
      <w:r>
        <w:t xml:space="preserve">= Interés </w:t>
      </w:r>
    </w:p>
    <w:p w14:paraId="2C93453E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m</m:t>
        </m:r>
      </m:oMath>
      <w:r>
        <w:t xml:space="preserve"> = Períodos de Capitalización por año</w:t>
      </w:r>
    </w:p>
    <w:p w14:paraId="28D41D2A" w14:textId="77777777" w:rsidR="00626858" w:rsidRDefault="00083DF2">
      <w:pPr>
        <w:pStyle w:val="normal0"/>
      </w:pPr>
      <w:r>
        <w:tab/>
      </w:r>
      <m:oMath>
        <m:r>
          <w:rPr>
            <w:rFonts w:ascii="Cambria Math" w:hAnsi="Cambria Math"/>
          </w:rPr>
          <m:t>t</m:t>
        </m:r>
      </m:oMath>
      <w:r>
        <w:t xml:space="preserve"> = Número de Total de períodos </w:t>
      </w:r>
    </w:p>
    <w:p w14:paraId="6C6F8C3A" w14:textId="77777777" w:rsidR="00626858" w:rsidRDefault="00083DF2">
      <w:pPr>
        <w:pStyle w:val="Subtitle"/>
        <w:contextualSpacing w:val="0"/>
      </w:pPr>
      <w:bookmarkStart w:id="12" w:name="h.12rmx75l3bzh" w:colFirst="0" w:colLast="0"/>
      <w:bookmarkEnd w:id="12"/>
      <w:r>
        <w:t>Metodología</w:t>
      </w:r>
    </w:p>
    <w:p w14:paraId="0E638136" w14:textId="77777777" w:rsidR="00626858" w:rsidRDefault="00083DF2" w:rsidP="00FF0EDE">
      <w:pPr>
        <w:pStyle w:val="normal0"/>
        <w:jc w:val="both"/>
      </w:pPr>
      <w:r>
        <w:t xml:space="preserve">Para poder llevar a cabo la resolución del problema fue necesario realizar tres calculadoras para préstamos a cuota fija, cuota variable y tasa variable. Al haber obtenido cada calculadora se prosiguió a obtener el total a pagar para cada uno de los 4 préstamos de los bancos. Ahora para el préstamo del proyecto del cliente, como primer paso se calculó el TIR según la ecuación del valor presente neto, igualandola a 0 y utilizando métodos numéricos (Newton, Secante, Bisección, Método Gráfico o Punto Fijo). Como siguiente paso es necesario obtener la tasa de interés efectivo para cada calculadora y utilizar este último como el </w:t>
      </w:r>
      <m:oMath>
        <m:r>
          <w:rPr>
            <w:rFonts w:ascii="Cambria Math" w:hAnsi="Cambria Math"/>
          </w:rPr>
          <m:t>k</m:t>
        </m:r>
      </m:oMath>
      <w:r>
        <w:t xml:space="preserve"> en la ecuación del cálculo de Valor Neto Presente (Ec. No. 5). Ya obtenidos este conjunto de datos (Menor valor de total a pagar, TIR y 4 VNP) se concluye que banco otorgaría el mejor préstamos al cliente, según las condiciones iniciales. </w:t>
      </w:r>
    </w:p>
    <w:p w14:paraId="1A60BD13" w14:textId="77777777" w:rsidR="00626858" w:rsidRDefault="00083DF2">
      <w:pPr>
        <w:pStyle w:val="Subtitle"/>
        <w:contextualSpacing w:val="0"/>
      </w:pPr>
      <w:bookmarkStart w:id="13" w:name="h.ac3nd5puntwz" w:colFirst="0" w:colLast="0"/>
      <w:bookmarkEnd w:id="13"/>
      <w:r>
        <w:t>Resultados</w:t>
      </w:r>
    </w:p>
    <w:p w14:paraId="0C424E2F" w14:textId="77777777" w:rsidR="00626858" w:rsidRDefault="00083DF2">
      <w:pPr>
        <w:pStyle w:val="Heading4"/>
        <w:numPr>
          <w:ilvl w:val="0"/>
          <w:numId w:val="5"/>
        </w:numPr>
        <w:ind w:hanging="360"/>
      </w:pPr>
      <w:bookmarkStart w:id="14" w:name="h.y6kkosq8bbkt" w:colFirst="0" w:colLast="0"/>
      <w:bookmarkEnd w:id="14"/>
      <w:r>
        <w:t>Calculadora de Préstamos a cuota fija</w:t>
      </w:r>
    </w:p>
    <w:p w14:paraId="66BE111A" w14:textId="77777777" w:rsidR="00626858" w:rsidRDefault="00083DF2">
      <w:pPr>
        <w:pStyle w:val="normal0"/>
      </w:pPr>
      <w:r>
        <w:t>Crédito hipotecario del Banco G&amp;T:</w:t>
      </w:r>
    </w:p>
    <w:p w14:paraId="24A2FCD8" w14:textId="77777777" w:rsidR="00626858" w:rsidRDefault="00083DF2">
      <w:pPr>
        <w:pStyle w:val="normal0"/>
        <w:numPr>
          <w:ilvl w:val="0"/>
          <w:numId w:val="2"/>
        </w:numPr>
        <w:ind w:hanging="360"/>
        <w:contextualSpacing/>
      </w:pPr>
      <w:r>
        <w:t>Tasa anual 15%, amortizaciones anuales</w:t>
      </w:r>
    </w:p>
    <w:p w14:paraId="1BCAC19D" w14:textId="77777777" w:rsidR="00626858" w:rsidRDefault="00083DF2">
      <w:pPr>
        <w:pStyle w:val="normal0"/>
        <w:numPr>
          <w:ilvl w:val="0"/>
          <w:numId w:val="2"/>
        </w:numPr>
        <w:ind w:hanging="360"/>
        <w:contextualSpacing/>
      </w:pPr>
      <w:r>
        <w:t>Cuotas fijas, interés fijo</w:t>
      </w:r>
    </w:p>
    <w:p w14:paraId="4C726107" w14:textId="77777777" w:rsidR="00626858" w:rsidRDefault="00083DF2">
      <w:pPr>
        <w:pStyle w:val="normal0"/>
        <w:numPr>
          <w:ilvl w:val="0"/>
          <w:numId w:val="2"/>
        </w:numPr>
        <w:ind w:hanging="360"/>
        <w:contextualSpacing/>
      </w:pPr>
      <w:r>
        <w:lastRenderedPageBreak/>
        <w:t>20 años para pagar</w:t>
      </w:r>
    </w:p>
    <w:p w14:paraId="5B011DD6" w14:textId="77777777" w:rsidR="00626858" w:rsidRDefault="00083DF2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325CD51A" wp14:editId="2E681AE4">
            <wp:extent cx="2628900" cy="2514599"/>
            <wp:effectExtent l="0" t="0" r="0" b="635"/>
            <wp:docPr id="1" name="image07.png" descr="Captura de pantalla 2015-08-14 08.27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aptura de pantalla 2015-08-14 08.27.49.png"/>
                    <pic:cNvPicPr preferRelativeResize="0"/>
                  </pic:nvPicPr>
                  <pic:blipFill>
                    <a:blip r:embed="rId6"/>
                    <a:srcRect r="2990"/>
                    <a:stretch>
                      <a:fillRect/>
                    </a:stretch>
                  </pic:blipFill>
                  <pic:spPr>
                    <a:xfrm>
                      <a:off x="0" y="0"/>
                      <a:ext cx="2629083" cy="2514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281D8" w14:textId="77777777" w:rsidR="00626858" w:rsidRDefault="00083DF2">
      <w:pPr>
        <w:pStyle w:val="normal0"/>
        <w:jc w:val="center"/>
      </w:pPr>
      <w:r>
        <w:t>Cuadro No. 2: Cálculo del Total a Pagar para la primera calculadora a 20 años</w:t>
      </w:r>
    </w:p>
    <w:p w14:paraId="109C12EA" w14:textId="77777777" w:rsidR="00626858" w:rsidRDefault="00083DF2">
      <w:pPr>
        <w:pStyle w:val="normal0"/>
      </w:pPr>
      <w:r>
        <w:t>De la calculadora anterior se obtuvo un total a pagar de Q26,862,507.48.</w:t>
      </w:r>
    </w:p>
    <w:p w14:paraId="4E8E4D82" w14:textId="77777777" w:rsidR="00626858" w:rsidRDefault="00083DF2">
      <w:pPr>
        <w:pStyle w:val="Heading4"/>
        <w:numPr>
          <w:ilvl w:val="0"/>
          <w:numId w:val="5"/>
        </w:numPr>
        <w:ind w:hanging="360"/>
      </w:pPr>
      <w:bookmarkStart w:id="15" w:name="h.j1zg0x5zqegh" w:colFirst="0" w:colLast="0"/>
      <w:bookmarkEnd w:id="15"/>
      <w:r>
        <w:t>Calculadora de Préstamos a tasa variable</w:t>
      </w:r>
    </w:p>
    <w:p w14:paraId="44405E66" w14:textId="77777777" w:rsidR="00626858" w:rsidRDefault="00083DF2">
      <w:pPr>
        <w:pStyle w:val="normal0"/>
      </w:pPr>
      <w:r>
        <w:t>Crédito Hipotecario Interbanco</w:t>
      </w:r>
    </w:p>
    <w:p w14:paraId="747257A7" w14:textId="77777777" w:rsidR="00626858" w:rsidRDefault="00083DF2">
      <w:pPr>
        <w:pStyle w:val="normal0"/>
        <w:numPr>
          <w:ilvl w:val="0"/>
          <w:numId w:val="1"/>
        </w:numPr>
        <w:ind w:hanging="360"/>
        <w:contextualSpacing/>
      </w:pPr>
      <w:r>
        <w:t>Tasa anual 11% , amortizaciones mensuales</w:t>
      </w:r>
    </w:p>
    <w:p w14:paraId="61999162" w14:textId="77777777" w:rsidR="00626858" w:rsidRDefault="00083DF2">
      <w:pPr>
        <w:pStyle w:val="normal0"/>
        <w:numPr>
          <w:ilvl w:val="0"/>
          <w:numId w:val="1"/>
        </w:numPr>
        <w:ind w:hanging="360"/>
        <w:contextualSpacing/>
      </w:pPr>
      <w:r>
        <w:t>Cuotas fijas, interés variable de 0.25% anual</w:t>
      </w:r>
    </w:p>
    <w:p w14:paraId="5B6B5635" w14:textId="77777777" w:rsidR="00626858" w:rsidRDefault="00083DF2">
      <w:pPr>
        <w:pStyle w:val="normal0"/>
        <w:numPr>
          <w:ilvl w:val="0"/>
          <w:numId w:val="1"/>
        </w:numPr>
        <w:ind w:hanging="360"/>
        <w:contextualSpacing/>
      </w:pPr>
      <w:r>
        <w:t>20 años para pagar</w:t>
      </w:r>
    </w:p>
    <w:p w14:paraId="3FD727E4" w14:textId="77777777" w:rsidR="00626858" w:rsidRDefault="00083DF2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6ADC6B80" wp14:editId="25150311">
            <wp:extent cx="3086100" cy="2455333"/>
            <wp:effectExtent l="0" t="0" r="0" b="8890"/>
            <wp:docPr id="6" name="image14.png" descr="Captura de pantalla 2015-08-28 08.56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ptura de pantalla 2015-08-28 08.56.45.png"/>
                    <pic:cNvPicPr preferRelativeResize="0"/>
                  </pic:nvPicPr>
                  <pic:blipFill>
                    <a:blip r:embed="rId7"/>
                    <a:srcRect t="4427" r="1762" b="1302"/>
                    <a:stretch>
                      <a:fillRect/>
                    </a:stretch>
                  </pic:blipFill>
                  <pic:spPr>
                    <a:xfrm>
                      <a:off x="0" y="0"/>
                      <a:ext cx="3086960" cy="2456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21A3D" w14:textId="77777777" w:rsidR="00626858" w:rsidRDefault="00083DF2">
      <w:pPr>
        <w:pStyle w:val="normal0"/>
        <w:jc w:val="center"/>
      </w:pPr>
      <w:r>
        <w:t>Cuadro No. 3: Cálculo del Total a Pagar para la segunda calculadora a 20 años con incremento anual del 0.25%</w:t>
      </w:r>
    </w:p>
    <w:p w14:paraId="035569C9" w14:textId="77777777" w:rsidR="00626858" w:rsidRDefault="00083DF2">
      <w:pPr>
        <w:pStyle w:val="normal0"/>
      </w:pPr>
      <w:r>
        <w:lastRenderedPageBreak/>
        <w:t>De la calculadora anterior se obtuvo un total a pagar de Q23,582,410.05</w:t>
      </w:r>
    </w:p>
    <w:p w14:paraId="7EC7EC67" w14:textId="77777777" w:rsidR="00626858" w:rsidRDefault="00083DF2">
      <w:pPr>
        <w:pStyle w:val="Heading4"/>
        <w:numPr>
          <w:ilvl w:val="0"/>
          <w:numId w:val="5"/>
        </w:numPr>
        <w:ind w:hanging="360"/>
      </w:pPr>
      <w:bookmarkStart w:id="16" w:name="h.733fi7oe7hnv" w:colFirst="0" w:colLast="0"/>
      <w:bookmarkEnd w:id="16"/>
      <w:r>
        <w:t>Calculadora de Préstamos a cuota variable</w:t>
      </w:r>
    </w:p>
    <w:p w14:paraId="56C527F3" w14:textId="77777777" w:rsidR="00626858" w:rsidRDefault="00083DF2">
      <w:pPr>
        <w:pStyle w:val="normal0"/>
      </w:pPr>
      <w:r>
        <w:t>Crédito de Consumo de Interbanco:</w:t>
      </w:r>
    </w:p>
    <w:p w14:paraId="649A81D9" w14:textId="77777777" w:rsidR="00626858" w:rsidRDefault="00083DF2">
      <w:pPr>
        <w:pStyle w:val="normal0"/>
        <w:numPr>
          <w:ilvl w:val="0"/>
          <w:numId w:val="3"/>
        </w:numPr>
        <w:ind w:hanging="360"/>
        <w:contextualSpacing/>
      </w:pPr>
      <w:r>
        <w:t>Tasa inicial de 17.5%, amortizaciones mensuales</w:t>
      </w:r>
    </w:p>
    <w:p w14:paraId="1674433E" w14:textId="77777777" w:rsidR="00626858" w:rsidRDefault="00083DF2">
      <w:pPr>
        <w:pStyle w:val="normal0"/>
        <w:numPr>
          <w:ilvl w:val="0"/>
          <w:numId w:val="3"/>
        </w:numPr>
        <w:ind w:hanging="360"/>
        <w:contextualSpacing/>
      </w:pPr>
      <w:r>
        <w:t>Cuotas variables, interés fijo</w:t>
      </w:r>
    </w:p>
    <w:p w14:paraId="05445A19" w14:textId="77777777" w:rsidR="00626858" w:rsidRDefault="00083DF2">
      <w:pPr>
        <w:pStyle w:val="normal0"/>
        <w:numPr>
          <w:ilvl w:val="0"/>
          <w:numId w:val="3"/>
        </w:numPr>
        <w:ind w:hanging="360"/>
        <w:contextualSpacing/>
      </w:pPr>
      <w:r>
        <w:t>20 años para pagar</w:t>
      </w:r>
    </w:p>
    <w:p w14:paraId="2A4129E1" w14:textId="77777777" w:rsidR="00626858" w:rsidRDefault="00083DF2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32235681" wp14:editId="10BA569A">
            <wp:extent cx="3208123" cy="1909233"/>
            <wp:effectExtent l="0" t="0" r="0" b="0"/>
            <wp:docPr id="4" name="image12.png" descr="Captura de pantalla 2015-08-14 08.28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a de pantalla 2015-08-14 08.28.25.png"/>
                    <pic:cNvPicPr preferRelativeResize="0"/>
                  </pic:nvPicPr>
                  <pic:blipFill>
                    <a:blip r:embed="rId8"/>
                    <a:srcRect r="830" b="1483"/>
                    <a:stretch>
                      <a:fillRect/>
                    </a:stretch>
                  </pic:blipFill>
                  <pic:spPr>
                    <a:xfrm>
                      <a:off x="0" y="0"/>
                      <a:ext cx="3209409" cy="1909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06A71" w14:textId="77777777" w:rsidR="00626858" w:rsidRDefault="00083DF2">
      <w:pPr>
        <w:pStyle w:val="normal0"/>
        <w:jc w:val="center"/>
      </w:pPr>
      <w:r>
        <w:t>Cuadro No. 4: Cálculo del Total a Pagar para la tercera calculadora a 20 años</w:t>
      </w:r>
    </w:p>
    <w:p w14:paraId="42303263" w14:textId="77777777" w:rsidR="00626858" w:rsidRDefault="00083DF2">
      <w:pPr>
        <w:pStyle w:val="normal0"/>
      </w:pPr>
      <w:r>
        <w:t>De la calculadora anterior se obtuvo un total a pagar de Q23,436,979.17.</w:t>
      </w:r>
    </w:p>
    <w:p w14:paraId="4E09E8CA" w14:textId="77777777" w:rsidR="00626858" w:rsidRDefault="00083DF2">
      <w:pPr>
        <w:pStyle w:val="Heading4"/>
        <w:numPr>
          <w:ilvl w:val="0"/>
          <w:numId w:val="5"/>
        </w:numPr>
        <w:ind w:hanging="360"/>
      </w:pPr>
      <w:bookmarkStart w:id="17" w:name="h.200fxbdk47eb" w:colFirst="0" w:colLast="0"/>
      <w:bookmarkEnd w:id="17"/>
      <w:r>
        <w:t>Calculadora de Préstamos a tasa variable</w:t>
      </w:r>
    </w:p>
    <w:p w14:paraId="6D346BA4" w14:textId="77777777" w:rsidR="00626858" w:rsidRDefault="00083DF2">
      <w:pPr>
        <w:pStyle w:val="normal0"/>
      </w:pPr>
      <w:r>
        <w:rPr>
          <w:rFonts w:ascii="Trebuchet MS" w:eastAsia="Trebuchet MS" w:hAnsi="Trebuchet MS" w:cs="Trebuchet MS"/>
        </w:rPr>
        <w:t>Crédito Hipotecario del BAM:</w:t>
      </w:r>
    </w:p>
    <w:p w14:paraId="0F125FC1" w14:textId="77777777" w:rsidR="00626858" w:rsidRDefault="00083DF2">
      <w:pPr>
        <w:pStyle w:val="normal0"/>
        <w:numPr>
          <w:ilvl w:val="0"/>
          <w:numId w:val="4"/>
        </w:numPr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Tasa inicial de 10%, con amortizaciones mensuales.</w:t>
      </w:r>
    </w:p>
    <w:p w14:paraId="4EF01540" w14:textId="77777777" w:rsidR="00626858" w:rsidRDefault="00083DF2">
      <w:pPr>
        <w:pStyle w:val="normal0"/>
        <w:numPr>
          <w:ilvl w:val="0"/>
          <w:numId w:val="4"/>
        </w:numPr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Cuotas fijas, interés anual variable con un incremento de 0.5% anual</w:t>
      </w:r>
    </w:p>
    <w:p w14:paraId="6B6C238C" w14:textId="77777777" w:rsidR="00626858" w:rsidRDefault="00083DF2">
      <w:pPr>
        <w:pStyle w:val="normal0"/>
        <w:numPr>
          <w:ilvl w:val="0"/>
          <w:numId w:val="4"/>
        </w:numPr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20 años para pagar.</w:t>
      </w:r>
    </w:p>
    <w:p w14:paraId="2E9C8FE5" w14:textId="77777777" w:rsidR="00626858" w:rsidRDefault="00083DF2">
      <w:pPr>
        <w:pStyle w:val="normal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57990D36" wp14:editId="606B46BB">
            <wp:extent cx="2628900" cy="3086099"/>
            <wp:effectExtent l="0" t="0" r="0" b="0"/>
            <wp:docPr id="7" name="image15.png" descr="Captura de pantalla 2015-08-28 09.02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a de pantalla 2015-08-28 09.02.20.png"/>
                    <pic:cNvPicPr preferRelativeResize="0"/>
                  </pic:nvPicPr>
                  <pic:blipFill>
                    <a:blip r:embed="rId9"/>
                    <a:srcRect t="2826" r="5877" b="1304"/>
                    <a:stretch>
                      <a:fillRect/>
                    </a:stretch>
                  </pic:blipFill>
                  <pic:spPr>
                    <a:xfrm>
                      <a:off x="0" y="0"/>
                      <a:ext cx="2629050" cy="30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91C88" w14:textId="77777777" w:rsidR="00626858" w:rsidRDefault="00083DF2">
      <w:pPr>
        <w:pStyle w:val="normal0"/>
        <w:jc w:val="center"/>
      </w:pPr>
      <w:r>
        <w:t>Cuadro No. 5: Cálculo del Total a Pagar para la segunda calculadora a 20 años con incremento anual del 0.5%</w:t>
      </w:r>
    </w:p>
    <w:p w14:paraId="5AD86D2A" w14:textId="77777777" w:rsidR="00626858" w:rsidRDefault="00083DF2">
      <w:pPr>
        <w:pStyle w:val="normal0"/>
      </w:pPr>
      <w:r>
        <w:t>De la calculadora anterior se obtuvo un total a pagar de Q24,762,036.50</w:t>
      </w:r>
    </w:p>
    <w:p w14:paraId="3BE0C358" w14:textId="77777777" w:rsidR="00626858" w:rsidRDefault="00626858">
      <w:pPr>
        <w:pStyle w:val="normal0"/>
      </w:pPr>
    </w:p>
    <w:p w14:paraId="38B2CDB4" w14:textId="77777777" w:rsidR="00626858" w:rsidRDefault="00083DF2" w:rsidP="00FF0EDE">
      <w:pPr>
        <w:pStyle w:val="normal0"/>
        <w:jc w:val="both"/>
      </w:pPr>
      <w:r>
        <w:t>Al analizar cada cantidad total a pagar luego de 20 años, se puede observar que el préstamo a cuota variable ofrecido por el Interbanco como crédito de consumo es el más favorable para el cliente, al solamente poseer un total a pagar de Q23,436,979.17 que es mucho menor que los préstamos restantes.</w:t>
      </w:r>
    </w:p>
    <w:p w14:paraId="2854471D" w14:textId="6F948247" w:rsidR="0097186B" w:rsidRDefault="0097186B" w:rsidP="0097186B">
      <w:pPr>
        <w:pStyle w:val="normal0"/>
        <w:ind w:left="-1276"/>
      </w:pPr>
      <w:r w:rsidRPr="0097186B">
        <w:rPr>
          <w:noProof/>
          <w:lang w:val="en-US"/>
        </w:rPr>
        <w:drawing>
          <wp:inline distT="0" distB="0" distL="0" distR="0" wp14:anchorId="7F1BD7DB" wp14:editId="1EB310E9">
            <wp:extent cx="3507511" cy="1837267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7" cy="183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59D7" w14:textId="38BAE11D" w:rsidR="0097186B" w:rsidRDefault="0097186B" w:rsidP="0097186B">
      <w:pPr>
        <w:pStyle w:val="normal0"/>
        <w:ind w:left="-1276"/>
      </w:pPr>
      <w:r>
        <w:t>Gráfica de los pagos acumulados, el menor es el problema 2.</w:t>
      </w:r>
    </w:p>
    <w:p w14:paraId="569C7251" w14:textId="77777777" w:rsidR="0097186B" w:rsidRDefault="0097186B" w:rsidP="0097186B">
      <w:pPr>
        <w:pStyle w:val="normal0"/>
        <w:ind w:left="-1276"/>
      </w:pPr>
    </w:p>
    <w:p w14:paraId="4438DCC8" w14:textId="77777777" w:rsidR="0097186B" w:rsidRDefault="0097186B">
      <w:pPr>
        <w:pStyle w:val="normal0"/>
      </w:pPr>
    </w:p>
    <w:p w14:paraId="547AB5CD" w14:textId="77777777" w:rsidR="0097186B" w:rsidRDefault="0097186B">
      <w:pPr>
        <w:pStyle w:val="normal0"/>
      </w:pPr>
    </w:p>
    <w:p w14:paraId="3E8A37D9" w14:textId="77777777" w:rsidR="00626858" w:rsidRDefault="00083DF2">
      <w:pPr>
        <w:pStyle w:val="Heading4"/>
        <w:contextualSpacing w:val="0"/>
      </w:pPr>
      <w:bookmarkStart w:id="18" w:name="h.v52s1r3tfgdf" w:colFirst="0" w:colLast="0"/>
      <w:bookmarkEnd w:id="18"/>
      <w:r>
        <w:t>Cálculo del TIR:</w:t>
      </w:r>
    </w:p>
    <w:p w14:paraId="578D6848" w14:textId="77777777" w:rsidR="00626858" w:rsidRDefault="00083DF2">
      <w:pPr>
        <w:pStyle w:val="normal0"/>
      </w:pPr>
      <w:r>
        <w:tab/>
        <w:t>Utilizando la Ec. No. 6 y métodos numéricos se obtuvieron los siguientes resultados:</w:t>
      </w:r>
    </w:p>
    <w:p w14:paraId="66E673F0" w14:textId="77777777" w:rsidR="00626858" w:rsidRDefault="00626858">
      <w:pPr>
        <w:pStyle w:val="normal0"/>
      </w:pPr>
    </w:p>
    <w:tbl>
      <w:tblPr>
        <w:tblStyle w:val="a0"/>
        <w:tblW w:w="4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410"/>
      </w:tblGrid>
      <w:tr w:rsidR="00626858" w14:paraId="31D2C513" w14:textId="77777777" w:rsidTr="005453B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99A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Método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737F" w14:textId="77777777" w:rsidR="00626858" w:rsidRDefault="00083DF2" w:rsidP="005453BB">
            <w:pPr>
              <w:pStyle w:val="normal0"/>
              <w:widowControl w:val="0"/>
              <w:spacing w:line="240" w:lineRule="auto"/>
              <w:ind w:left="42"/>
            </w:pPr>
            <w:r>
              <w:t>Valor de TIR</w:t>
            </w:r>
          </w:p>
        </w:tc>
      </w:tr>
      <w:tr w:rsidR="00626858" w14:paraId="12B22874" w14:textId="77777777" w:rsidTr="005453B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4024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Bisección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A7E6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0.167901247901</w:t>
            </w:r>
          </w:p>
        </w:tc>
      </w:tr>
      <w:tr w:rsidR="00626858" w14:paraId="05A3B2B2" w14:textId="77777777" w:rsidTr="005453B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B465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Newton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60C0" w14:textId="77777777" w:rsidR="00626858" w:rsidRDefault="00083DF2" w:rsidP="005453BB">
            <w:pPr>
              <w:pStyle w:val="normal0"/>
              <w:widowControl w:val="0"/>
              <w:spacing w:line="240" w:lineRule="auto"/>
              <w:ind w:left="140"/>
            </w:pPr>
            <w:r>
              <w:t>0.167901247901</w:t>
            </w:r>
          </w:p>
        </w:tc>
      </w:tr>
      <w:tr w:rsidR="00626858" w14:paraId="2315C5BB" w14:textId="77777777" w:rsidTr="005453B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FD66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Secante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2EBC" w14:textId="77777777" w:rsidR="00626858" w:rsidRDefault="00083DF2">
            <w:pPr>
              <w:pStyle w:val="normal0"/>
              <w:widowControl w:val="0"/>
              <w:spacing w:line="240" w:lineRule="auto"/>
            </w:pPr>
            <w:r>
              <w:t>0.167901247901</w:t>
            </w:r>
          </w:p>
        </w:tc>
      </w:tr>
    </w:tbl>
    <w:p w14:paraId="154F4BD6" w14:textId="77777777" w:rsidR="00626858" w:rsidRDefault="00083DF2">
      <w:pPr>
        <w:pStyle w:val="normal0"/>
        <w:jc w:val="center"/>
      </w:pPr>
      <w:r>
        <w:t xml:space="preserve">Cuadro No. 6: Cálculos de TIR utilizando distintos métodos numéricos </w:t>
      </w:r>
    </w:p>
    <w:p w14:paraId="1E1D0D5D" w14:textId="77777777" w:rsidR="00626858" w:rsidRDefault="00083DF2">
      <w:pPr>
        <w:pStyle w:val="normal0"/>
      </w:pPr>
      <w:r>
        <w:t xml:space="preserve">Gráfico: </w:t>
      </w:r>
    </w:p>
    <w:p w14:paraId="5B965A3D" w14:textId="77777777" w:rsidR="00626858" w:rsidRDefault="00083DF2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0A298F4E" wp14:editId="776B4BCB">
            <wp:extent cx="3543300" cy="2374900"/>
            <wp:effectExtent l="0" t="0" r="12700" b="127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0AB81" w14:textId="77777777" w:rsidR="00626858" w:rsidRDefault="00083DF2">
      <w:pPr>
        <w:pStyle w:val="normal0"/>
        <w:jc w:val="center"/>
      </w:pPr>
      <w:r>
        <w:t>Gráfico No. 1: Aproximación del valor del TIR gráficamente según su ecuación.</w:t>
      </w:r>
    </w:p>
    <w:p w14:paraId="4490496E" w14:textId="77777777" w:rsidR="00626858" w:rsidRDefault="00083DF2">
      <w:pPr>
        <w:pStyle w:val="Heading4"/>
        <w:contextualSpacing w:val="0"/>
      </w:pPr>
      <w:bookmarkStart w:id="19" w:name="h.1iskm7djzd24" w:colFirst="0" w:colLast="0"/>
      <w:bookmarkEnd w:id="19"/>
      <w:r>
        <w:t>Cálculo del TEA Y VPN:</w:t>
      </w:r>
    </w:p>
    <w:tbl>
      <w:tblPr>
        <w:tblStyle w:val="a1"/>
        <w:tblW w:w="52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140"/>
        <w:gridCol w:w="1770"/>
      </w:tblGrid>
      <w:tr w:rsidR="00626858" w14:paraId="2017369F" w14:textId="77777777" w:rsidTr="005453BB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EB6E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Banco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DF70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TEA (%)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848F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VPN (Q)</w:t>
            </w:r>
          </w:p>
        </w:tc>
      </w:tr>
      <w:tr w:rsidR="00626858" w14:paraId="31405827" w14:textId="77777777" w:rsidTr="005453BB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2EFB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G&amp;T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606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0.1607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988D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324,991.01</w:t>
            </w:r>
          </w:p>
        </w:tc>
      </w:tr>
      <w:tr w:rsidR="00626858" w14:paraId="6BE27ED1" w14:textId="77777777" w:rsidTr="005453BB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9E9F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Interbanco (Hipotecario)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40F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0.1422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A311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 1,303,503.90</w:t>
            </w:r>
          </w:p>
        </w:tc>
      </w:tr>
      <w:tr w:rsidR="00626858" w14:paraId="63195B18" w14:textId="77777777" w:rsidTr="005453BB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083E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Interbanco (Consumo)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1726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0.1897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0AE8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 -831,772.04</w:t>
            </w:r>
          </w:p>
        </w:tc>
      </w:tr>
      <w:tr w:rsidR="00626858" w14:paraId="7E4CFDD7" w14:textId="77777777" w:rsidTr="005453BB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8860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BAM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B0DA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>0.1578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7D33" w14:textId="77777777" w:rsidR="00626858" w:rsidRDefault="00083DF2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 464,043.66</w:t>
            </w:r>
          </w:p>
        </w:tc>
      </w:tr>
    </w:tbl>
    <w:p w14:paraId="6AB32C18" w14:textId="77777777" w:rsidR="00626858" w:rsidRDefault="00083DF2">
      <w:pPr>
        <w:pStyle w:val="normal0"/>
        <w:jc w:val="center"/>
      </w:pPr>
      <w:r>
        <w:t>Cuadro No. 7: Cálculo del TEA y VPN mediante sus formulas.</w:t>
      </w:r>
    </w:p>
    <w:p w14:paraId="76AF92D2" w14:textId="77777777" w:rsidR="00626858" w:rsidRDefault="00626858">
      <w:pPr>
        <w:pStyle w:val="normal0"/>
        <w:jc w:val="center"/>
      </w:pPr>
    </w:p>
    <w:p w14:paraId="48A07707" w14:textId="77777777" w:rsidR="00626858" w:rsidRDefault="00083DF2">
      <w:pPr>
        <w:pStyle w:val="normal0"/>
      </w:pPr>
      <w:r>
        <w:t>Al encontrar el TEA por medio de la Ec. No. 7  se prosiguió a calcular cada VPN para los distintos préstamos obteniendo así el mayor VPN (Q1,303,503.90) por parte del Crédito Hipotecario del Interbanco.</w:t>
      </w:r>
    </w:p>
    <w:p w14:paraId="4F032162" w14:textId="77777777" w:rsidR="00626858" w:rsidRDefault="00626858">
      <w:pPr>
        <w:pStyle w:val="normal0"/>
      </w:pPr>
    </w:p>
    <w:p w14:paraId="46247E46" w14:textId="77777777" w:rsidR="00626858" w:rsidRDefault="00083DF2">
      <w:pPr>
        <w:pStyle w:val="Heading4"/>
        <w:contextualSpacing w:val="0"/>
      </w:pPr>
      <w:bookmarkStart w:id="20" w:name="h.o32n9vo6pgvi" w:colFirst="0" w:colLast="0"/>
      <w:bookmarkEnd w:id="20"/>
      <w:r>
        <w:t>Aplicación directa a ciencias de la computación:</w:t>
      </w:r>
    </w:p>
    <w:p w14:paraId="010D1CD3" w14:textId="77777777" w:rsidR="00626858" w:rsidRDefault="00626858">
      <w:pPr>
        <w:pStyle w:val="normal0"/>
      </w:pPr>
    </w:p>
    <w:p w14:paraId="6F177283" w14:textId="48C2901A" w:rsidR="00626858" w:rsidRDefault="00083DF2">
      <w:pPr>
        <w:pStyle w:val="normal0"/>
        <w:jc w:val="both"/>
      </w:pPr>
      <w:r>
        <w:t xml:space="preserve">Debido a que el grupo está conformado por estudiantes de ciencias de la computación, se decidió realizar una calculadora de amortizaciones en una página web. La dirección de esta es la siguiente: </w:t>
      </w:r>
      <w:hyperlink r:id="rId12">
        <w:r>
          <w:rPr>
            <w:color w:val="1155CC"/>
            <w:u w:val="single"/>
          </w:rPr>
          <w:t>http://financierauvg.herokuapp.com</w:t>
        </w:r>
      </w:hyperlink>
      <w:r w:rsidR="00396B6B">
        <w:t xml:space="preserve">. </w:t>
      </w:r>
      <w:r>
        <w:t>En esta calculadora se puede resolver el proyecto descrito y se puede calcular el pago periódico de cualquier préstamo y el pago total de cualquier préstamo dependiendo de las condiciones iniciales. A continuación se muestra el funcionamiento.</w:t>
      </w:r>
    </w:p>
    <w:p w14:paraId="7190FDB4" w14:textId="77777777" w:rsidR="00626858" w:rsidRDefault="00626858">
      <w:pPr>
        <w:pStyle w:val="normal0"/>
        <w:jc w:val="both"/>
      </w:pPr>
    </w:p>
    <w:p w14:paraId="6261E058" w14:textId="77777777" w:rsidR="00626858" w:rsidRDefault="00083DF2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6A47AE3E" wp14:editId="15D8DF4D">
            <wp:extent cx="2971800" cy="2849033"/>
            <wp:effectExtent l="0" t="0" r="0" b="0"/>
            <wp:docPr id="3" name="image10.png" descr="Captura de pantalla 2015-08-28 09.47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a de pantalla 2015-08-28 09.47.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06" cy="2849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876D8" w14:textId="77777777" w:rsidR="00626858" w:rsidRDefault="00083DF2">
      <w:pPr>
        <w:pStyle w:val="normal0"/>
        <w:jc w:val="both"/>
      </w:pPr>
      <w:r>
        <w:t>Figura 1. Formulario para ingresar parámetros del préstamo</w:t>
      </w:r>
    </w:p>
    <w:p w14:paraId="7424255E" w14:textId="77777777" w:rsidR="00626858" w:rsidRDefault="00626858">
      <w:pPr>
        <w:pStyle w:val="normal0"/>
        <w:jc w:val="both"/>
      </w:pPr>
    </w:p>
    <w:p w14:paraId="29BA6C61" w14:textId="77777777" w:rsidR="00626858" w:rsidRDefault="00083DF2">
      <w:pPr>
        <w:pStyle w:val="normal0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 wp14:anchorId="6FB93FB9" wp14:editId="30CE9D29">
            <wp:extent cx="3543300" cy="1371600"/>
            <wp:effectExtent l="0" t="0" r="12700" b="0"/>
            <wp:docPr id="2" name="image09.png" descr="Captura de pantalla 2015-08-28 09.47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aptura de pantalla 2015-08-28 09.47.5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C87FF" w14:textId="77777777" w:rsidR="00626858" w:rsidRDefault="00083DF2">
      <w:pPr>
        <w:pStyle w:val="normal0"/>
        <w:jc w:val="both"/>
      </w:pPr>
      <w:r>
        <w:t xml:space="preserve">Figura 2. Desglose de la tabla del préstamo </w:t>
      </w:r>
    </w:p>
    <w:p w14:paraId="7A5A3BC4" w14:textId="77777777" w:rsidR="00626858" w:rsidRDefault="00083DF2">
      <w:pPr>
        <w:pStyle w:val="Subtitle"/>
        <w:contextualSpacing w:val="0"/>
      </w:pPr>
      <w:bookmarkStart w:id="21" w:name="h.p9t3sk6gikfj" w:colFirst="0" w:colLast="0"/>
      <w:bookmarkEnd w:id="21"/>
      <w:r>
        <w:t>Conclusión</w:t>
      </w:r>
    </w:p>
    <w:p w14:paraId="72B3D166" w14:textId="77777777" w:rsidR="00626858" w:rsidRDefault="00083DF2" w:rsidP="005453BB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La mejor opción para el cliente es obtener el crédito de consumo del Interbanco con una tasa de 17.5 % anual con amortizaciones mensuales, con cuota variable, interés fijo y 20 años para pagar.</w:t>
      </w:r>
    </w:p>
    <w:p w14:paraId="7775385A" w14:textId="77777777" w:rsidR="00626858" w:rsidRDefault="00083DF2" w:rsidP="005453BB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La Tasa Interna de Retorno del proyecto es de 16.79%</w:t>
      </w:r>
    </w:p>
    <w:p w14:paraId="66FFD01A" w14:textId="04FA992C" w:rsidR="00626858" w:rsidRDefault="00083DF2" w:rsidP="005453BB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El VPN escogido corresponde al crédito hipotecario del Interbanco, al ser el mayor de los 4.</w:t>
      </w:r>
      <w:r w:rsidR="00343CED">
        <w:t xml:space="preserve"> </w:t>
      </w:r>
    </w:p>
    <w:p w14:paraId="7EDF5593" w14:textId="77777777" w:rsidR="00626858" w:rsidRDefault="00083DF2" w:rsidP="005453BB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Para un préstamo la mejor elección es el crédito por consumo del Interbanco, por otra parte para un préstamo para un proyect</w:t>
      </w:r>
      <w:r w:rsidR="005453BB">
        <w:t>o</w:t>
      </w:r>
      <w:r>
        <w:t xml:space="preserve"> la mejor opción es el crédito hipotecario del Interbanco.</w:t>
      </w:r>
    </w:p>
    <w:p w14:paraId="58E2EA54" w14:textId="77777777" w:rsidR="00626858" w:rsidRDefault="00626858">
      <w:pPr>
        <w:pStyle w:val="normal0"/>
      </w:pPr>
    </w:p>
    <w:p w14:paraId="20B5E0CD" w14:textId="10E9B957" w:rsidR="00626858" w:rsidRDefault="00083DF2" w:rsidP="00FF0EDE">
      <w:pPr>
        <w:pStyle w:val="Subtitle"/>
        <w:contextualSpacing w:val="0"/>
      </w:pPr>
      <w:bookmarkStart w:id="22" w:name="h.gfk5bh9inx32" w:colFirst="0" w:colLast="0"/>
      <w:bookmarkEnd w:id="22"/>
      <w:r>
        <w:t>Referencias</w:t>
      </w:r>
    </w:p>
    <w:p w14:paraId="7C7DE712" w14:textId="77777777" w:rsidR="00626858" w:rsidRDefault="00083DF2">
      <w:pPr>
        <w:pStyle w:val="normal0"/>
      </w:pPr>
      <w:r>
        <w:t xml:space="preserve">Estrada, Alex (2014). </w:t>
      </w:r>
      <w:r>
        <w:rPr>
          <w:i/>
        </w:rPr>
        <w:t xml:space="preserve">Curso de matemática financiera II. </w:t>
      </w:r>
      <w:r>
        <w:t xml:space="preserve">Universidad Da Vinci de Guatemala. Facultad de Auditoría y Finanzas. </w:t>
      </w:r>
    </w:p>
    <w:p w14:paraId="05168C23" w14:textId="77777777" w:rsidR="00626858" w:rsidRDefault="00626858">
      <w:pPr>
        <w:pStyle w:val="normal0"/>
      </w:pPr>
    </w:p>
    <w:p w14:paraId="4D0AD216" w14:textId="77777777" w:rsidR="00626858" w:rsidRDefault="00083DF2">
      <w:pPr>
        <w:pStyle w:val="normal0"/>
      </w:pPr>
      <w:r>
        <w:t xml:space="preserve">Germán, José (2006). </w:t>
      </w:r>
      <w:r>
        <w:rPr>
          <w:i/>
        </w:rPr>
        <w:t xml:space="preserve">El uso del valor actual neto y la tasa interna de retorno para la valoración de las decisiones de inversión. </w:t>
      </w:r>
      <w:r>
        <w:t>Universidad de los Ándes. Facultad de Ciencias Económicas.</w:t>
      </w:r>
    </w:p>
    <w:p w14:paraId="332A78C0" w14:textId="77777777" w:rsidR="00626858" w:rsidRDefault="00626858">
      <w:pPr>
        <w:pStyle w:val="normal0"/>
      </w:pPr>
    </w:p>
    <w:p w14:paraId="7F6720A8" w14:textId="77777777" w:rsidR="00626858" w:rsidRDefault="00083DF2">
      <w:pPr>
        <w:pStyle w:val="normal0"/>
      </w:pPr>
      <w:r>
        <w:t>Blank, L. y A. Tarquin (2012) Ingeniería económica. 7a edición. Mc Graw Hill. México. 615pp.</w:t>
      </w:r>
    </w:p>
    <w:sectPr w:rsidR="00626858" w:rsidSect="0097186B">
      <w:type w:val="continuous"/>
      <w:pgSz w:w="12240" w:h="15840"/>
      <w:pgMar w:top="1440" w:right="1440" w:bottom="1276" w:left="1440" w:header="720" w:footer="720" w:gutter="0"/>
      <w:pgNumType w:start="1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885"/>
    <w:multiLevelType w:val="multilevel"/>
    <w:tmpl w:val="9200AC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3961B14"/>
    <w:multiLevelType w:val="multilevel"/>
    <w:tmpl w:val="F53E0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161380"/>
    <w:multiLevelType w:val="multilevel"/>
    <w:tmpl w:val="91669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FE36F4"/>
    <w:multiLevelType w:val="multilevel"/>
    <w:tmpl w:val="F126E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DC84FFB"/>
    <w:multiLevelType w:val="multilevel"/>
    <w:tmpl w:val="1E6EB55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nsid w:val="7E1B233E"/>
    <w:multiLevelType w:val="multilevel"/>
    <w:tmpl w:val="8B20B7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F5D61D9"/>
    <w:multiLevelType w:val="multilevel"/>
    <w:tmpl w:val="38323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858"/>
    <w:rsid w:val="00083DF2"/>
    <w:rsid w:val="00343CED"/>
    <w:rsid w:val="00396B6B"/>
    <w:rsid w:val="005453BB"/>
    <w:rsid w:val="00626858"/>
    <w:rsid w:val="008C577A"/>
    <w:rsid w:val="0097186B"/>
    <w:rsid w:val="00C210C2"/>
    <w:rsid w:val="00C241F6"/>
    <w:rsid w:val="00F27BBD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0E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3B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3B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financierauvg.herokuapp.com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1626</Words>
  <Characters>9273</Characters>
  <Application>Microsoft Macintosh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Diaz</cp:lastModifiedBy>
  <cp:revision>3</cp:revision>
  <cp:lastPrinted>2015-08-28T23:19:00Z</cp:lastPrinted>
  <dcterms:created xsi:type="dcterms:W3CDTF">2015-08-28T23:19:00Z</dcterms:created>
  <dcterms:modified xsi:type="dcterms:W3CDTF">2015-08-29T02:55:00Z</dcterms:modified>
</cp:coreProperties>
</file>