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MATHMAG BUILDERS LIMITED</w:t>
      </w:r>
    </w:p>
    <w:p>
      <w:pPr>
        <w:spacing w:before="840"/>
      </w:pPr>
      <w:r>
        <w:rPr>
          <w:b/>
          <w:color w:val="117D74"/>
          <w:sz w:val="26"/>
        </w:rPr>
        <w:t>MANAGEMENT SYSTEM</w:t>
      </w:r>
    </w:p>
    <w:p>
      <w:pPr>
        <w:pStyle w:val="Title"/>
      </w:pPr>
      <w:r>
        <w:t>Master System Architecture &amp; Governance</w:t>
      </w:r>
    </w:p>
    <w:p>
      <w:r>
        <w:rPr>
          <w:b/>
          <w:color w:val="117D74"/>
          <w:sz w:val="24"/>
        </w:rPr>
        <w:t>Seven core modules • One operational platform • One authority model</w:t>
      </w:r>
    </w:p>
    <w:p>
      <w:pPr>
        <w:spacing w:before="540"/>
      </w:pPr>
      <w:r>
        <w:rPr>
          <w:i/>
        </w:rPr>
        <w:t>Plan better, build better.</w:t>
      </w:r>
    </w:p>
    <w:p>
      <w:pPr>
        <w:spacing w:before="1160"/>
      </w:pPr>
      <w:r>
        <w:rPr>
          <w:sz w:val="19"/>
        </w:rPr>
        <w:t>Document ID: MBMS-ARCH-00</w:t>
        <w:br/>
        <w:t>Version 3.0 • 25 October 2026</w:t>
        <w:br/>
        <w:t>Status: Business requirements harmonized • Developer implementation not yet performed</w:t>
      </w:r>
    </w:p>
    <w:p>
      <w:r>
        <w:br w:type="page"/>
      </w:r>
    </w:p>
    <w:p>
      <w:pPr>
        <w:pStyle w:val="Heading1"/>
      </w:pPr>
      <w:r>
        <w:t>00. Executive decision and controlled-document precedence</w:t>
      </w:r>
    </w:p>
    <w:p>
      <w:r>
        <w:t>The Mathmag Builders Management System (MBMS) contains seven CORE MODULES. Modules 1-6 are the client/project delivery lifecycle. Module 7 - Central Administration - is cross-cutting and operates continuously across them. Client, employee, subcontractor, supplier and management dashboards are role-specific portals within this single platform, not extra business modules.</w:t>
      </w:r>
    </w:p>
    <w:p>
      <w:r>
        <w:t>This V3 document and the corresponding module V3 addenda are the newest governance/integration layer. They preserve previously approved module requirements except where an older generic or inconsistent statement must be interpreted using the later owner vs GM, delegated approval, independent review, statutory/safety and audit policies. Legal compliance and monetary delegation limits need verification and configuration; no software implementation is claimed.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Document</w:t>
            </w:r>
          </w:p>
        </w:tc>
        <w:tc>
          <w:tcPr>
            <w:tcW w:type="dxa" w:w="501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Priority and purpose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Signed contracts and law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Mandatory applicable legislation and actual contract obligations are binding; developer must not infer nonwaivable waivers.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Specific later user-confirmed rules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Higher priority than older illustrative drafting assumptions, especially safeguards and escalation.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Module 7 and this V3 architecture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Company-wide governance, HR, compliance, finance, identity, audit and permission rules.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Module 1-6 V3 addenda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Controlling business-rule interpretation of the attached preserved original module text.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Preserved source module pages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Authoritative detailed workflow where no conflict with newer rules.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Developer design proposals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Implementation suggestions only, subject to review, tests and approval.</w:t>
            </w:r>
          </w:p>
        </w:tc>
      </w:tr>
    </w:tbl>
    <w:p>
      <w:pPr>
        <w:spacing w:after="20"/>
      </w:pPr>
    </w:p>
    <w:p>
      <w:pPr>
        <w:pStyle w:val="Heading1"/>
      </w:pPr>
      <w:r>
        <w:t>01. Seven-module business architecture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1"/>
        <w:gridCol w:w="3341"/>
        <w:gridCol w:w="3341"/>
      </w:tblGrid>
      <w:tr>
        <w:trPr>
          <w:tblHeader w:val="true"/>
        </w:trPr>
        <w:tc>
          <w:tcPr>
            <w:tcW w:type="dxa" w:w="334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334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34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Entry / exit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01 • Site Visit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Client intake after agreed visit date; mobile site survey and report.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Agreed booking -&gt; reviewed published site brief.</w:t>
            </w:r>
          </w:p>
        </w:tc>
      </w:tr>
      <w:tr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02 • Planning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2D approval -&gt; 3D -&gt; Structural -&gt; Mechanical/Plumbing -&gt; Electrical -&gt; QS.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Versioned approved technical package and budget.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03 • Client Acceptance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Management-published technical/budget proposal; exact-version acceptance; verified finance gate.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Authorized release to Module 4 or contracted permitted route.</w:t>
            </w:r>
          </w:p>
        </w:tc>
      </w:tr>
      <w:tr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04 • Approvals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Controlled printing, professional certification and statutory authority tracking.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Conditional planning completion; mandatory construction requirements separately cleared.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05 • Contracts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Service selection, negotiation, final agreement, execution, project appointment.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Construction planning-only activated if signed; physical work still gated.</w:t>
            </w:r>
          </w:p>
        </w:tc>
      </w:tr>
      <w:tr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06 • Construction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Procurement, workers, sites, costs, safety, handover, warranty.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Formal project closeout after all distinct obligations.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07 • Administration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HR, Accounts/Finance, Procurement administration, Compliance, QA, independent audit, corporate IT.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Continuous, company-wide; no sequential project gate.</w:t>
            </w:r>
          </w:p>
        </w:tc>
      </w:tr>
    </w:tbl>
    <w:p>
      <w:pPr>
        <w:spacing w:after="20"/>
      </w:pPr>
    </w:p>
    <w:p>
      <w:r>
        <w:t>Service pathways are progressive and conditional. Not every client buys construction: planning-only, printing-only, approval-only, technical inspection/supervision, labour-only and full-build engagements receive only relevant permitted scope. No system rule should force all modules as identical paid steps.</w:t>
      </w:r>
    </w:p>
    <w:p>
      <w:pPr>
        <w:pStyle w:val="Heading1"/>
      </w:pPr>
      <w:r>
        <w:t>02. Organization and authority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01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Authority and restriction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Business Owner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Company ownership and strategic decisions; approved GM appointment/authority mandate, governance oversight, major reserved transactions, external audit/independent cases; not daily site/HR/procurement approval.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General Manager (GM)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Company-wide operational authority; sets/delegates functional matrices, settles GM-level escalations, controls company operating policy, monitors performance and risk.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Department Head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Technical, contract, HR, finance, procurement, compliance or QA delegated action within project/category/value/risk permissions.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Project Manager (PM)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Execution and site oversight for assigned project; requests resources, verifies progress, recommends major decisions; has only specifically delegated monetary authority.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Site Supervisor / Storekeeper / Worker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Executes distinct worker duties; originals never suppressed; cannot certify own independent approval.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Independent Auditor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Protected access to immutable records and protected complaint channel; appointments/removal and GM-related case routing must be insulated from conflicted management.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Qualified professionals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Independent scope-limited certified technical opinions/signatures under their validated professional eligibility.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Clients and suppliers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Limited own record access; acceptance and supplier banking verified independently; no cross-project information leakage.</w:t>
            </w:r>
          </w:p>
        </w:tc>
      </w:tr>
    </w:tbl>
    <w:p>
      <w:pPr>
        <w:spacing w:after="20"/>
      </w:pPr>
    </w:p>
    <w:p>
      <w:pPr>
        <w:pStyle w:val="Heading2"/>
      </w:pPr>
      <w:r>
        <w:t>02.1 Delegation and approval interpretation</w:t>
      </w:r>
    </w:p>
    <w:p>
      <w:pPr>
        <w:pStyle w:val="ListBullet"/>
      </w:pPr>
      <w:r>
        <w:t>Every power has authority_category, role/person grant, project scope, value threshold, risk category, effective dates, evidence requirement and substitution/escalation route.</w:t>
      </w:r>
    </w:p>
    <w:p>
      <w:pPr>
        <w:pStyle w:val="ListBullet"/>
      </w:pPr>
      <w:r>
        <w:t>“Management” in existing Module 1-6 documents means a valid delegated manager for ordinary decisions and the GM for above-limit or expressly reserved operational approvals; it never implicitly means owner approval.</w:t>
      </w:r>
    </w:p>
    <w:p>
      <w:pPr>
        <w:pStyle w:val="ListBullet"/>
      </w:pPr>
      <w:r>
        <w:t>The owner sees protected strategic/audit risk summaries but remains outside routine finance, supplier, attendance, project deadlines and contract-related operational queues unless the matter is expressly owner-reserved.</w:t>
      </w:r>
    </w:p>
    <w:p>
      <w:pPr>
        <w:pStyle w:val="ListBullet"/>
      </w:pPr>
      <w:r>
        <w:t>Mandatory technical, client, legal, HR and finance review steps are not optional just because a GM has spending authority.</w:t>
      </w:r>
    </w:p>
    <w:p>
      <w:pPr>
        <w:pStyle w:val="ListBullet"/>
      </w:pPr>
      <w:r>
        <w:t>PM responsibility to coordinate is distinct from authority to contract, sign, make payment, change material ownership, certify a structural drawing or approve an independent investigation.</w:t>
      </w:r>
    </w:p>
    <w:p>
      <w:pPr>
        <w:pStyle w:val="ListBullet"/>
      </w:pPr>
      <w:r>
        <w:t>GM absence: HR activates a time-limited preapproved acting deputy according to standing approved succession; if no deputy is available, preapproved emergency management committee operates via limited quorum and recorded votes, never exercising owner-reserved powers.</w:t>
      </w:r>
    </w:p>
    <w:p>
      <w:pPr>
        <w:pStyle w:val="Heading2"/>
      </w:pPr>
      <w:r>
        <w:t>02.2 Cross-functional decision checkpoints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6"/>
        <w:gridCol w:w="2506"/>
        <w:gridCol w:w="2506"/>
        <w:gridCol w:w="2506"/>
      </w:tblGrid>
      <w:tr>
        <w:trPr>
          <w:tblHeader w:val="true"/>
        </w:trPr>
        <w:tc>
          <w:tcPr>
            <w:tcW w:type="dxa" w:w="2506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Case</w:t>
            </w:r>
          </w:p>
        </w:tc>
        <w:tc>
          <w:tcPr>
            <w:tcW w:type="dxa" w:w="2506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Originator</w:t>
            </w:r>
          </w:p>
        </w:tc>
        <w:tc>
          <w:tcPr>
            <w:tcW w:type="dxa" w:w="2506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Independent verification</w:t>
            </w:r>
          </w:p>
        </w:tc>
        <w:tc>
          <w:tcPr>
            <w:tcW w:type="dxa" w:w="2506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Final authorization</w:t>
            </w:r>
          </w:p>
        </w:tc>
      </w:tr>
      <w:tr>
        <w:tc>
          <w:tcPr>
            <w:tcW w:type="dxa" w:w="2506"/>
            <w:vAlign w:val="center"/>
          </w:tcPr>
          <w:p>
            <w:pPr>
              <w:spacing w:after="20"/>
            </w:pPr>
            <w:r>
              <w:rPr>
                <w:sz w:val="16"/>
              </w:rPr>
              <w:t>Site cost/visit</w:t>
            </w:r>
          </w:p>
        </w:tc>
        <w:tc>
          <w:tcPr>
            <w:tcW w:type="dxa" w:w="2506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Desk/site lead</w:t>
            </w:r>
          </w:p>
        </w:tc>
        <w:tc>
          <w:tcPr>
            <w:tcW w:type="dxa" w:w="2506"/>
            <w:vAlign w:val="center"/>
          </w:tcPr>
          <w:p>
            <w:pPr>
              <w:spacing w:after="20"/>
            </w:pPr>
            <w:r>
              <w:rPr>
                <w:sz w:val="16"/>
              </w:rPr>
              <w:t>Accounts amount and project; supervisor activity</w:t>
            </w:r>
          </w:p>
        </w:tc>
        <w:tc>
          <w:tcPr>
            <w:tcW w:type="dxa" w:w="2506"/>
            <w:vAlign w:val="center"/>
          </w:tcPr>
          <w:p>
            <w:pPr>
              <w:spacing w:after="20"/>
            </w:pPr>
            <w:r>
              <w:rPr>
                <w:sz w:val="16"/>
              </w:rPr>
              <w:t>Assigned delegated manager/GM on escalation</w:t>
            </w:r>
          </w:p>
        </w:tc>
      </w:tr>
      <w:tr>
        <w:tc>
          <w:tcPr>
            <w:tcW w:type="dxa" w:w="2506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Design professional signoff</w:t>
            </w:r>
          </w:p>
        </w:tc>
        <w:tc>
          <w:tcPr>
            <w:tcW w:type="dxa" w:w="2506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Authorized designer</w:t>
            </w:r>
          </w:p>
        </w:tc>
        <w:tc>
          <w:tcPr>
            <w:tcW w:type="dxa" w:w="2506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Department technical lead/required professional</w:t>
            </w:r>
          </w:p>
        </w:tc>
        <w:tc>
          <w:tcPr>
            <w:tcW w:type="dxa" w:w="2506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Qualified signatory; not finance/owner substitution</w:t>
            </w:r>
          </w:p>
        </w:tc>
      </w:tr>
      <w:tr>
        <w:tc>
          <w:tcPr>
            <w:tcW w:type="dxa" w:w="2506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Proposal release</w:t>
            </w:r>
          </w:p>
        </w:tc>
        <w:tc>
          <w:tcPr>
            <w:tcW w:type="dxa" w:w="2506"/>
            <w:vAlign w:val="center"/>
          </w:tcPr>
          <w:p>
            <w:pPr>
              <w:spacing w:after="20"/>
            </w:pPr>
            <w:r>
              <w:rPr>
                <w:sz w:val="16"/>
              </w:rPr>
              <w:t>Lead QS</w:t>
            </w:r>
          </w:p>
        </w:tc>
        <w:tc>
          <w:tcPr>
            <w:tcW w:type="dxa" w:w="2506"/>
            <w:vAlign w:val="center"/>
          </w:tcPr>
          <w:p>
            <w:pPr>
              <w:spacing w:after="20"/>
            </w:pPr>
            <w:r>
              <w:rPr>
                <w:sz w:val="16"/>
              </w:rPr>
              <w:t>QS costing + Contracts where necessary + Accounts gate</w:t>
            </w:r>
          </w:p>
        </w:tc>
        <w:tc>
          <w:tcPr>
            <w:tcW w:type="dxa" w:w="2506"/>
            <w:vAlign w:val="center"/>
          </w:tcPr>
          <w:p>
            <w:pPr>
              <w:spacing w:after="20"/>
            </w:pPr>
            <w:r>
              <w:rPr>
                <w:sz w:val="16"/>
              </w:rPr>
              <w:t>Eligible delegated manager/GM</w:t>
            </w:r>
          </w:p>
        </w:tc>
      </w:tr>
      <w:tr>
        <w:tc>
          <w:tcPr>
            <w:tcW w:type="dxa" w:w="2506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Permit application/fee</w:t>
            </w:r>
          </w:p>
        </w:tc>
        <w:tc>
          <w:tcPr>
            <w:tcW w:type="dxa" w:w="2506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Approvals Officer</w:t>
            </w:r>
          </w:p>
        </w:tc>
        <w:tc>
          <w:tcPr>
            <w:tcW w:type="dxa" w:w="2506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Professional + Compliance applicability; Accounts payments</w:t>
            </w:r>
          </w:p>
        </w:tc>
        <w:tc>
          <w:tcPr>
            <w:tcW w:type="dxa" w:w="2506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Authorized manager for spend/publication</w:t>
            </w:r>
          </w:p>
        </w:tc>
      </w:tr>
      <w:tr>
        <w:tc>
          <w:tcPr>
            <w:tcW w:type="dxa" w:w="2506"/>
            <w:vAlign w:val="center"/>
          </w:tcPr>
          <w:p>
            <w:pPr>
              <w:spacing w:after="20"/>
            </w:pPr>
            <w:r>
              <w:rPr>
                <w:sz w:val="16"/>
              </w:rPr>
              <w:t>Binding client contract</w:t>
            </w:r>
          </w:p>
        </w:tc>
        <w:tc>
          <w:tcPr>
            <w:tcW w:type="dxa" w:w="2506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Contracts Officer</w:t>
            </w:r>
          </w:p>
        </w:tc>
        <w:tc>
          <w:tcPr>
            <w:tcW w:type="dxa" w:w="2506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Contracts/QS/Accounts/professional scope checks</w:t>
            </w:r>
          </w:p>
        </w:tc>
        <w:tc>
          <w:tcPr>
            <w:tcW w:type="dxa" w:w="2506"/>
            <w:vAlign w:val="center"/>
          </w:tcPr>
          <w:p>
            <w:pPr>
              <w:spacing w:after="20"/>
            </w:pPr>
            <w:r>
              <w:rPr>
                <w:sz w:val="16"/>
              </w:rPr>
              <w:t>Authorized company signatory per actual mandate</w:t>
            </w:r>
          </w:p>
        </w:tc>
      </w:tr>
      <w:tr>
        <w:tc>
          <w:tcPr>
            <w:tcW w:type="dxa" w:w="2506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Material PO</w:t>
            </w:r>
          </w:p>
        </w:tc>
        <w:tc>
          <w:tcPr>
            <w:tcW w:type="dxa" w:w="2506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PM / site requisitioner</w:t>
            </w:r>
          </w:p>
        </w:tc>
        <w:tc>
          <w:tcPr>
            <w:tcW w:type="dxa" w:w="2506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Procurement quotes + QS value + Accounts funding + technical review</w:t>
            </w:r>
          </w:p>
        </w:tc>
        <w:tc>
          <w:tcPr>
            <w:tcW w:type="dxa" w:w="2506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Delegated purchasing approver/GM</w:t>
            </w:r>
          </w:p>
        </w:tc>
      </w:tr>
      <w:tr>
        <w:tc>
          <w:tcPr>
            <w:tcW w:type="dxa" w:w="2506"/>
            <w:vAlign w:val="center"/>
          </w:tcPr>
          <w:p>
            <w:pPr>
              <w:spacing w:after="20"/>
            </w:pPr>
            <w:r>
              <w:rPr>
                <w:sz w:val="16"/>
              </w:rPr>
              <w:t>Supplier payment</w:t>
            </w:r>
          </w:p>
        </w:tc>
        <w:tc>
          <w:tcPr>
            <w:tcW w:type="dxa" w:w="2506"/>
            <w:vAlign w:val="center"/>
          </w:tcPr>
          <w:p>
            <w:pPr>
              <w:spacing w:after="20"/>
            </w:pPr>
            <w:r>
              <w:rPr>
                <w:sz w:val="16"/>
              </w:rPr>
              <w:t>Accounts payable preparation</w:t>
            </w:r>
          </w:p>
        </w:tc>
        <w:tc>
          <w:tcPr>
            <w:tcW w:type="dxa" w:w="2506"/>
            <w:vAlign w:val="center"/>
          </w:tcPr>
          <w:p>
            <w:pPr>
              <w:spacing w:after="20"/>
            </w:pPr>
            <w:r>
              <w:rPr>
                <w:sz w:val="16"/>
              </w:rPr>
              <w:t>PO, accepted GRN, invoice; verified payment destination</w:t>
            </w:r>
          </w:p>
        </w:tc>
        <w:tc>
          <w:tcPr>
            <w:tcW w:type="dxa" w:w="2506"/>
            <w:vAlign w:val="center"/>
          </w:tcPr>
          <w:p>
            <w:pPr>
              <w:spacing w:after="20"/>
            </w:pPr>
            <w:r>
              <w:rPr>
                <w:sz w:val="16"/>
              </w:rPr>
              <w:t>Independent payment authorizer; separate payer/reconciler</w:t>
            </w:r>
          </w:p>
        </w:tc>
      </w:tr>
      <w:tr>
        <w:tc>
          <w:tcPr>
            <w:tcW w:type="dxa" w:w="2506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Payroll</w:t>
            </w:r>
          </w:p>
        </w:tc>
        <w:tc>
          <w:tcPr>
            <w:tcW w:type="dxa" w:w="2506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HR/PM verified input</w:t>
            </w:r>
          </w:p>
        </w:tc>
        <w:tc>
          <w:tcPr>
            <w:tcW w:type="dxa" w:w="2506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Accounts calculation and statutory checks</w:t>
            </w:r>
          </w:p>
        </w:tc>
        <w:tc>
          <w:tcPr>
            <w:tcW w:type="dxa" w:w="2506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Delegated management approval; Accounts payout</w:t>
            </w:r>
          </w:p>
        </w:tc>
      </w:tr>
      <w:tr>
        <w:tc>
          <w:tcPr>
            <w:tcW w:type="dxa" w:w="2506"/>
            <w:vAlign w:val="center"/>
          </w:tcPr>
          <w:p>
            <w:pPr>
              <w:spacing w:after="20"/>
            </w:pPr>
            <w:r>
              <w:rPr>
                <w:sz w:val="16"/>
              </w:rPr>
              <w:t>Critical safety return-to-service</w:t>
            </w:r>
          </w:p>
        </w:tc>
        <w:tc>
          <w:tcPr>
            <w:tcW w:type="dxa" w:w="2506"/>
            <w:vAlign w:val="center"/>
          </w:tcPr>
          <w:p>
            <w:pPr>
              <w:spacing w:after="20"/>
            </w:pPr>
            <w:r>
              <w:rPr>
                <w:sz w:val="16"/>
              </w:rPr>
              <w:t>Operator/worker original report</w:t>
            </w:r>
          </w:p>
        </w:tc>
        <w:tc>
          <w:tcPr>
            <w:tcW w:type="dxa" w:w="2506"/>
            <w:vAlign w:val="center"/>
          </w:tcPr>
          <w:p>
            <w:pPr>
              <w:spacing w:after="20"/>
            </w:pPr>
            <w:r>
              <w:rPr>
                <w:sz w:val="16"/>
              </w:rPr>
              <w:t>Qualified independent technical/safety assessment</w:t>
            </w:r>
          </w:p>
        </w:tc>
        <w:tc>
          <w:tcPr>
            <w:tcW w:type="dxa" w:w="2506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Competent documented release and extra GM/PM release as policy requires</w:t>
            </w:r>
          </w:p>
        </w:tc>
      </w:tr>
      <w:tr>
        <w:tc>
          <w:tcPr>
            <w:tcW w:type="dxa" w:w="2506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Final handover</w:t>
            </w:r>
          </w:p>
        </w:tc>
        <w:tc>
          <w:tcPr>
            <w:tcW w:type="dxa" w:w="2506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PM</w:t>
            </w:r>
          </w:p>
        </w:tc>
        <w:tc>
          <w:tcPr>
            <w:tcW w:type="dxa" w:w="2506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Qualified technical, QS final account, Accounts and Contracts</w:t>
            </w:r>
          </w:p>
        </w:tc>
        <w:tc>
          <w:tcPr>
            <w:tcW w:type="dxa" w:w="2506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Delegated management formal release; separate client acceptance</w:t>
            </w:r>
          </w:p>
        </w:tc>
      </w:tr>
    </w:tbl>
    <w:p>
      <w:pPr>
        <w:spacing w:after="20"/>
      </w:pPr>
    </w:p>
    <w:p>
      <w:pPr>
        <w:pStyle w:val="Heading1"/>
      </w:pPr>
      <w:r>
        <w:t>03. Roles, portals and access model</w:t>
      </w:r>
    </w:p>
    <w:p>
      <w:r>
        <w:t>Use role-based access PLUS project assignment, relationship type, document classification, service entitlements and record ownership. One person may hold multiple approved roles but the backend must block self-approval on conflicted transactions.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1"/>
        <w:gridCol w:w="3341"/>
        <w:gridCol w:w="3341"/>
      </w:tblGrid>
      <w:tr>
        <w:trPr>
          <w:tblHeader w:val="true"/>
        </w:trPr>
        <w:tc>
          <w:tcPr>
            <w:tcW w:type="dxa" w:w="334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Portal</w:t>
            </w:r>
          </w:p>
        </w:tc>
        <w:tc>
          <w:tcPr>
            <w:tcW w:type="dxa" w:w="334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Must display</w:t>
            </w:r>
          </w:p>
        </w:tc>
        <w:tc>
          <w:tcPr>
            <w:tcW w:type="dxa" w:w="334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Must NOT display by default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Owner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Company KPIs, material exposure, GM reports, strategic exceptions, independent audit escalations.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Routine employee payroll details, all unfiltered client files and day-to-day approval chores.</w:t>
            </w:r>
          </w:p>
        </w:tc>
      </w:tr>
      <w:tr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GM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Operational summary, consolidated department queues, exceptions, critical site/finance/compliance and staffing risks.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Restricted whistleblower identity on conflicted case without authorization.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Department Head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Owned cases, assigned work, due dates, professional checks, permitted document revisions.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Unrelated employee grievances, unassigned client data, other confidential suppliers.</w:t>
            </w:r>
          </w:p>
        </w:tc>
      </w:tr>
      <w:tr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PM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Assigned project worker originals, site verification, procurement, schedule, QA and cost snapshots.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Secret audit informant identity, unassigned project ledgers.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Worker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Own tasks, original submissions, disputes, attendance, equipment/PPE acknowledgments, lawful own earnings.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Other workers wages/credentials, sensitive commercial quotes and audits.</w:t>
            </w:r>
          </w:p>
        </w:tc>
      </w:tr>
      <w:tr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Subcontractor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Own contracted scope, personnel assignments, claims, retention, evidence and handover.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Mathmag direct employment payroll or another subcontractor files.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Client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Published project drawings, approvals, agreed budgets, acceptance, invoices, selected progress updates, handover/warranty.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Editable CAD, internal incidents, raw employee media not published and audit results.</w:t>
            </w:r>
          </w:p>
        </w:tc>
      </w:tr>
      <w:tr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Independent auditor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Allowed protected originals, append-only transaction audit, investigations, corrective action verification.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Changing primary transactional records or deciding operational payments.</w:t>
            </w:r>
          </w:p>
        </w:tc>
      </w:tr>
    </w:tbl>
    <w:p>
      <w:pPr>
        <w:spacing w:after="20"/>
      </w:pPr>
    </w:p>
    <w:p>
      <w:pPr>
        <w:pStyle w:val="Heading1"/>
      </w:pPr>
      <w:r>
        <w:t>04. Project lifecycle and release gates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1"/>
        <w:gridCol w:w="3341"/>
        <w:gridCol w:w="3341"/>
      </w:tblGrid>
      <w:tr>
        <w:trPr>
          <w:tblHeader w:val="true"/>
        </w:trPr>
        <w:tc>
          <w:tcPr>
            <w:tcW w:type="dxa" w:w="334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334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Required proof</w:t>
            </w:r>
          </w:p>
        </w:tc>
        <w:tc>
          <w:tcPr>
            <w:tcW w:type="dxa" w:w="334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Prohibited bypass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G1 / visit activated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Site date/time mutually agreed and project record opened.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Unqualified enquiry converted automatically to project.</w:t>
            </w:r>
          </w:p>
        </w:tc>
      </w:tr>
      <w:tr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G2 / architectural 3D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Client accepted specific 2D file revision.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3D production or claims based on informal outdated drawings.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G3 / engineering chain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Department lead approval for Architectural -&gt; Structural -&gt; MEP -&gt; Electrical -&gt; QS.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Unreviewed source file passing to next stage.</w:t>
            </w:r>
          </w:p>
        </w:tc>
      </w:tr>
      <w:tr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G4 / client proposal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Lead QS technical approval, authorized management publication, exact acceptance version.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Client approval silently changing when budget/drawings revised.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G5 / approvals stage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Client acceptance verified, financial milestone satisfied or explicit eligible finance exception and separate Module 4 release.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Financial bypass alters ledger or erases outstanding debt.</w:t>
            </w:r>
          </w:p>
        </w:tc>
      </w:tr>
      <w:tr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G6 / contract service activation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Management-approved executed final contract, signed evidence, service entitlements, appointed PM where appropriate.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Client service selection treated as signed construction authorization.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G7 / mobilization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Required permits and NCA, verified milestone/exception, PM documented readiness and management physical-start release.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Construction simply because M4 conditionally closed or M5 was signed.</w:t>
            </w:r>
          </w:p>
        </w:tc>
      </w:tr>
      <w:tr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G8 / critical work hold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Relevant competent stage/safety professional and operational release as applicable.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GM financial override replacing technical approval.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G9 / variation work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Scope/technical feasibility, QS rate/schedule, Contracts document, manager offer and client exact acceptance.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Chargeable extra work authorized solely by supervisor.</w:t>
            </w:r>
          </w:p>
        </w:tc>
      </w:tr>
      <w:tr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G10 / completion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Technical certificates, PM completion, QS/Accounts reconciliation, management handover, client evidence.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Single handover flag clearing unresolved financial or warranty duty.</w:t>
            </w:r>
          </w:p>
        </w:tc>
      </w:tr>
    </w:tbl>
    <w:p>
      <w:pPr>
        <w:spacing w:after="20"/>
      </w:pPr>
    </w:p>
    <w:p>
      <w:pPr>
        <w:pStyle w:val="Heading1"/>
      </w:pPr>
      <w:r>
        <w:t>05. Shared record architecture</w:t>
      </w:r>
    </w:p>
    <w:p>
      <w:r>
        <w:t>Canonical identifiers and append-only source/evidence are the foundations. A single project reference follows all modules and company-wide finance; separate engagements, contracts and stage instances reference that stable project rather than cloning it.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1"/>
        <w:gridCol w:w="3341"/>
        <w:gridCol w:w="3341"/>
      </w:tblGrid>
      <w:tr>
        <w:trPr>
          <w:tblHeader w:val="true"/>
        </w:trPr>
        <w:tc>
          <w:tcPr>
            <w:tcW w:type="dxa" w:w="334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334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Minimum aggregate / entities</w:t>
            </w:r>
          </w:p>
        </w:tc>
        <w:tc>
          <w:tcPr>
            <w:tcW w:type="dxa" w:w="334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Key relationships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Identity &amp; mandates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User, Employee, RoleGrant, ProjectMembership, DelegationMandate, ActingAuthority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User -&gt; granted role/scope; mandatable actions/time-limited deputies.</w:t>
            </w:r>
          </w:p>
        </w:tc>
      </w:tr>
      <w:tr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Client/Project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Client, Enquiry, SiteVisitBooking, Project, ServiceEngagement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One Project many service engagements, visits, modules, client access grants.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Design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SiteSurvey, DesignFileVersion, DisciplineTask, TechnicalReview, ClientApproval, DesignChange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Every approval references exact approved document version.</w:t>
            </w:r>
          </w:p>
        </w:tc>
      </w:tr>
      <w:tr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Commercial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ProposalVersion, Acceptance, ContractVersion, Signature, Variation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Each financial or work gate checks same acceptance/signed contract version.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Compliance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Obligation, Applicability, License, Permit, Certificate, ComplianceHold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Company standard + project applicability and regulator evidence.</w:t>
            </w:r>
          </w:p>
        </w:tc>
      </w:tr>
      <w:tr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People &amp; execution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WorkerProfile, EmployerLink, Assignment, OriginalReport, Verification, Dispute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Original worker report separate from supervisor verification and PM resolution.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Procurement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Supplier, TrustedContact, BeneficiaryChange, Quote, Evaluation, PO, GRN, Invoice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Approved PO-version -&gt; actual accepted GRN -&gt; supplier invoice -&gt; payment checks.</w:t>
            </w:r>
          </w:p>
        </w:tc>
      </w:tr>
      <w:tr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Stock/assets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StockBatch, Store, StockMovement, Asset, OperatorPermit, DailyInspection, FuelIssue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Custody chain, ownership/title, original worker reports, project costing.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Finance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GeneralLedgerEntry, ProjectCostLedger, Payment, Receipt, Advance, Reconciliation, Journal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No erasure of original financial posts; correcting journals link reversal refs.</w:t>
            </w:r>
          </w:p>
        </w:tc>
      </w:tr>
      <w:tr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Quality/audit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QualityFinding, SafetyHold, AuditEvent, AuditCase, CorrectiveAction, Evidence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Independent audit record append-only and case protection.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Closeout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Handover, SnagItem, Retention, WarrantyTerm, WarrantyClaim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Completion, client acceptance, financial close and warranty expiry separate.</w:t>
            </w:r>
          </w:p>
        </w:tc>
      </w:tr>
    </w:tbl>
    <w:p>
      <w:pPr>
        <w:spacing w:after="20"/>
      </w:pPr>
    </w:p>
    <w:p>
      <w:pPr>
        <w:pStyle w:val="Heading2"/>
      </w:pPr>
      <w:r>
        <w:t>05.1 System-wide state envelope and integrity</w:t>
      </w:r>
    </w:p>
    <w:p>
      <w:pPr>
        <w:pStyle w:val="ListBullet"/>
      </w:pPr>
      <w:r>
        <w:t>Every workflow action stores id, parent/project/engagement, type, action, actorUserId, representedRole, authorizingMandateId, actionTimestamp, previousState, nextState, reasonCode, attachments, correlationId and source revisions.</w:t>
      </w:r>
    </w:p>
    <w:p>
      <w:pPr>
        <w:pStyle w:val="ListBullet"/>
      </w:pPr>
      <w:r>
        <w:t>Business state history and evidence attachments must be tamper-evident and non-deletable by ordinary admins. Personally identifying records need legally valid retention and access safeguards; immutable audit does not mean unrestricted public disclosure.</w:t>
      </w:r>
    </w:p>
    <w:p>
      <w:pPr>
        <w:pStyle w:val="ListBullet"/>
      </w:pPr>
      <w:r>
        <w:t>File versions use content hash, classification, owner, documentPurpose, supersedesVersionId, approvedBy, approvedAt and exact client publication grant. Never expose storage URL without server-side authorization.</w:t>
      </w:r>
    </w:p>
    <w:p>
      <w:pPr>
        <w:pStyle w:val="ListBullet"/>
      </w:pPr>
      <w:r>
        <w:t>Critical operation endpoints require MFA or step-up verification, replay/idempotency key, server-side authority check and transaction-level segregation of duties. Exceptions reference applicable policy rule.</w:t>
      </w:r>
    </w:p>
    <w:p>
      <w:pPr>
        <w:pStyle w:val="ListBullet"/>
      </w:pPr>
      <w:r>
        <w:t>Client-facing or worker-facing notifications are async, retriable and logged; original write transaction is authoritative even if a notification fails.</w:t>
      </w:r>
    </w:p>
    <w:p>
      <w:pPr>
        <w:pStyle w:val="Heading1"/>
      </w:pPr>
      <w:r>
        <w:t>06. Cross-module service/event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Business event</w:t>
            </w:r>
          </w:p>
        </w:tc>
        <w:tc>
          <w:tcPr>
            <w:tcW w:type="dxa" w:w="501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Consumers / gate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SiteVisitScheduled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Create project entry and site brief task only after valid mutually agreed date.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SiteBriefTechnicallyReleased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Module 2 intake; versioned approved survey and assigned architectural lead.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Client2DApproved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Permit controlled 3D work for that exact design revision.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DisciplinePackageApproved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Release next technical discipline and maintain source references.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ProposalPublished / ProposalAccepted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Client portal accepted version and management verification queue.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PaymentVerified / FinanceExceptionApproved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Re-evaluate eligible financial stage gate without altering receivable balance.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Module4ReleaseAuthorized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Create statutory cases/issue sets per project obligations.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PermitRecorded / ComplianceHoldChanged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Update project readiness and Module 6 mobilization lock.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ContractExecuted / ServiceActivated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Enable only contracted dashboard/tools, planning-only Module 6 as applicable.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MobilizationAuthorized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Permit physical construction tasks only when all nonwaivable preconditions true.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WorkerReportSubmitted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Immediate manager/PM read visibility, separate supervisor verification task, audit.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SupplierBeneficiaryChanged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Flag affected pending payments; force trusted-contact revalidation/new authorization.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GRNAccepted / StockMovementVerified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Stock and accounts reconciliation of actual accepted quantities.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EquipmentSafetyRestricted / EquipmentCleared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Immediate targeted asset hold and competent technical documented release.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HandoverAuthorized / WarrantyCaseOpened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Start contract-defined warranty monitoring without wiping financial claims.</w:t>
            </w:r>
          </w:p>
        </w:tc>
      </w:tr>
    </w:tbl>
    <w:p>
      <w:pPr>
        <w:spacing w:after="20"/>
      </w:pPr>
    </w:p>
    <w:p>
      <w:pPr>
        <w:pStyle w:val="Heading1"/>
      </w:pPr>
      <w:r>
        <w:t>07. Security, audit and operational resilience</w:t>
      </w:r>
    </w:p>
    <w:p>
      <w:pPr>
        <w:pStyle w:val="ListBullet"/>
      </w:pPr>
      <w:r>
        <w:t>Protected audit channel routes allegations involving the GM or a department head to independent auditor and nonconflicted owner/governance decision-maker; access logs also audited.</w:t>
      </w:r>
    </w:p>
    <w:p>
      <w:pPr>
        <w:pStyle w:val="ListBullet"/>
      </w:pPr>
      <w:r>
        <w:t>HR, auditor and customer data have partitioned confidentiality; least privilege applies at tenant, project, case, record type and individual file-level.</w:t>
      </w:r>
    </w:p>
    <w:p>
      <w:pPr>
        <w:pStyle w:val="ListBullet"/>
      </w:pPr>
      <w:r>
        <w:t>No transaction creator can approve all stages, no payable payee-change to unverified destination; no duplicate invoices/payroll periods, no hidden versions/stock balance edits.</w:t>
      </w:r>
    </w:p>
    <w:p>
      <w:pPr>
        <w:pStyle w:val="ListBullet"/>
      </w:pPr>
      <w:r>
        <w:t>Encrypted transport, encryption at rest, segregated key/secrets administration, backups, restore drills, retention schedule and offboarding revocation.</w:t>
      </w:r>
    </w:p>
    <w:p>
      <w:pPr>
        <w:pStyle w:val="ListBullet"/>
      </w:pPr>
      <w:r>
        <w:t>Offline site/mobile sync must display upload acknowledgment, preserve original local client submission id, prevent duplicates and never label not-yet-synced evidence as completed.</w:t>
      </w:r>
    </w:p>
    <w:p>
      <w:pPr>
        <w:pStyle w:val="ListBullet"/>
      </w:pPr>
      <w:r>
        <w:t>Alerts escalate based on project risk/severity/threshold; routine site operations continue while only affected unsafe assets/payments/work are restricted.</w:t>
      </w:r>
    </w:p>
    <w:p>
      <w:pPr>
        <w:pStyle w:val="Heading1"/>
      </w:pPr>
      <w:r>
        <w:t>08. Master dashboard inventory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Workspace</w:t>
            </w:r>
          </w:p>
        </w:tc>
        <w:tc>
          <w:tcPr>
            <w:tcW w:type="dxa" w:w="501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Core widgets / views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Executive / owner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Strategic cash and project portfolio, profitability by project, major contractual/statutory exposure, audit escalations.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General Manager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GM approvals and exceptions, department SLAs, unresolved safety, cash risk, projects exceeding cost/schedule thresholds.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Site/PM command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Site tasks, worker originals vs verification, stock flow, procurement, quality holds, asset utilization, client update queue.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Finance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AR/AP aging, receipts, verified payment batches, escrow-like advances, cash reconciliations, cost codes, payroll.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HR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Role/shift allocation, attendance exceptions, certification expiry, leave/discipline restricted cases.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Compliance / QA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Project obligations, permits/certificates expiry, open stage holds, nonconformity recurrence, corrective verification.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Independent auditor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Risk alerts, immutable records, evidence access logs, protected cases, finding aging and resolution validation.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Client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Personal project service scopes, approved designs, sign-offs, invoices, updates, handover and warranty claims.</w:t>
            </w:r>
          </w:p>
        </w:tc>
      </w:tr>
    </w:tbl>
    <w:p>
      <w:pPr>
        <w:spacing w:after="20"/>
      </w:pPr>
    </w:p>
    <w:p>
      <w:pPr>
        <w:pStyle w:val="Heading1"/>
      </w:pPr>
      <w:r>
        <w:t>09. Build strategy and acceptance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1"/>
        <w:gridCol w:w="3341"/>
        <w:gridCol w:w="3341"/>
      </w:tblGrid>
      <w:tr>
        <w:trPr>
          <w:tblHeader w:val="true"/>
        </w:trPr>
        <w:tc>
          <w:tcPr>
            <w:tcW w:type="dxa" w:w="334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Wave</w:t>
            </w:r>
          </w:p>
        </w:tc>
        <w:tc>
          <w:tcPr>
            <w:tcW w:type="dxa" w:w="334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Objective</w:t>
            </w:r>
          </w:p>
        </w:tc>
        <w:tc>
          <w:tcPr>
            <w:tcW w:type="dxa" w:w="334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Deployment gates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Foundation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Identity and authority, project/client model, versions and immutable audit, document storage.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Prove project isolation, owner vs GM access, delegated authority, backups and security.</w:t>
            </w:r>
          </w:p>
        </w:tc>
      </w:tr>
      <w:tr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M1-3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Lead capture/booking, 2D/3D/engineering workflow, published proposal and finance acceptance.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Prove exact-version review, client access, release gates and Accounts reconciliation.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M4-5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Application cases, professional certs, service contracts, signature, compliance holds.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Prove technical signature scope, NCA gate, service flexibility and no construction bypass.</w:t>
            </w:r>
          </w:p>
        </w:tc>
      </w:tr>
      <w:tr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M6 core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Worker portals, daily reports, stores, procurement, QA/safety, accounting commitments.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Prove independent worker evidence, 3-way matching, thresholds and material ownership.</w:t>
            </w:r>
          </w:p>
        </w:tc>
      </w:tr>
      <w:tr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M6 advanced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Equipment, supplier advances, subcontract claims, valuations, variation, handover/warranty.</w:t>
            </w:r>
          </w:p>
        </w:tc>
        <w:tc>
          <w:tcPr>
            <w:tcW w:type="dxa" w:w="3341"/>
            <w:vAlign w:val="center"/>
          </w:tcPr>
          <w:p>
            <w:pPr>
              <w:spacing w:after="20"/>
            </w:pPr>
            <w:r>
              <w:rPr>
                <w:sz w:val="16"/>
              </w:rPr>
              <w:t>Prove safety clearance, payee protection, finance forecast and distinct closeout stages.</w:t>
            </w:r>
          </w:p>
        </w:tc>
      </w:tr>
      <w:tr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M7 cross-cutting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Complete HR, audit, finance reporting, compliance, centralized QA and dashboards.</w:t>
            </w:r>
          </w:p>
        </w:tc>
        <w:tc>
          <w:tcPr>
            <w:tcW w:type="dxa" w:w="334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Prove auditor independence, legal restrictions, succession and operational resilience.</w:t>
            </w:r>
          </w:p>
        </w:tc>
      </w:tr>
    </w:tbl>
    <w:p>
      <w:pPr>
        <w:spacing w:after="20"/>
      </w:pPr>
    </w:p>
    <w:p>
      <w:r>
        <w:t>Architecture freeze depends on confirmation of actual role holders, corporate signing mandates, approval limits, payroll/legal rules, accounting tax setup, project-specific statutory checklists, notification channels and required integration credentials. These are parameters to obtain, not permission to revisit the already selected business workflow.</w:t>
      </w:r>
    </w:p>
    <w:p>
      <w:pPr>
        <w:pStyle w:val="Heading1"/>
      </w:pPr>
      <w:r>
        <w:t>10. Developer acceptance criteria (cross-module)</w:t>
      </w:r>
    </w:p>
    <w:p>
      <w:pPr>
        <w:pStyle w:val="ListBullet"/>
      </w:pPr>
      <w:r>
        <w:t>MAST-UAT-01. Customer intake cannot create active project without agreed site visit date.</w:t>
      </w:r>
    </w:p>
    <w:p>
      <w:pPr>
        <w:pStyle w:val="ListBullet"/>
      </w:pPr>
      <w:r>
        <w:t>MAST-UAT-02. Only a valid 2D acceptance enables 3D.</w:t>
      </w:r>
    </w:p>
    <w:p>
      <w:pPr>
        <w:pStyle w:val="ListBullet"/>
      </w:pPr>
      <w:r>
        <w:t>MAST-UAT-03. No engineering handover unless predecessor technically approved.</w:t>
      </w:r>
    </w:p>
    <w:p>
      <w:pPr>
        <w:pStyle w:val="ListBullet"/>
      </w:pPr>
      <w:r>
        <w:t>MAST-UAT-04. Client may not retrieve working editable CAD/ArchiCAD design files.</w:t>
      </w:r>
    </w:p>
    <w:p>
      <w:pPr>
        <w:pStyle w:val="ListBullet"/>
      </w:pPr>
      <w:r>
        <w:t>MAST-UAT-05. Client acceptance binds exact published proposal and financial revision.</w:t>
      </w:r>
    </w:p>
    <w:p>
      <w:pPr>
        <w:pStyle w:val="ListBullet"/>
      </w:pPr>
      <w:r>
        <w:t>MAST-UAT-06. Accounts manually initiates customer overdue reminders.</w:t>
      </w:r>
    </w:p>
    <w:p>
      <w:pPr>
        <w:pStyle w:val="ListBullet"/>
      </w:pPr>
      <w:r>
        <w:t>MAST-UAT-07. An authorized financial milestone exception does not change receivable ledger.</w:t>
      </w:r>
    </w:p>
    <w:p>
      <w:pPr>
        <w:pStyle w:val="ListBullet"/>
      </w:pPr>
      <w:r>
        <w:t>MAST-UAT-08. No professional stamp from unverified or expired qualified identity.</w:t>
      </w:r>
    </w:p>
    <w:p>
      <w:pPr>
        <w:pStyle w:val="ListBullet"/>
      </w:pPr>
      <w:r>
        <w:t>MAST-UAT-09. M4 conditional completion cannot remove construction NCA statutory lock.</w:t>
      </w:r>
    </w:p>
    <w:p>
      <w:pPr>
        <w:pStyle w:val="ListBullet"/>
      </w:pPr>
      <w:r>
        <w:t>MAST-UAT-10. Client service selection is not an executed contract.</w:t>
      </w:r>
    </w:p>
    <w:p>
      <w:pPr>
        <w:pStyle w:val="ListBullet"/>
      </w:pPr>
      <w:r>
        <w:t>MAST-UAT-11. Company signature requires approved final version and valid signatory authority.</w:t>
      </w:r>
    </w:p>
    <w:p>
      <w:pPr>
        <w:pStyle w:val="ListBullet"/>
      </w:pPr>
      <w:r>
        <w:t>MAST-UAT-12. Module 6 can open planning-only while physical execution is blocked.</w:t>
      </w:r>
    </w:p>
    <w:p>
      <w:pPr>
        <w:pStyle w:val="ListBullet"/>
      </w:pPr>
      <w:r>
        <w:t>MAST-UAT-13. Worker original evidence is instantly visible to PM/GM without supervisor gate.</w:t>
      </w:r>
    </w:p>
    <w:p>
      <w:pPr>
        <w:pStyle w:val="ListBullet"/>
      </w:pPr>
      <w:r>
        <w:t>MAST-UAT-14. Supervisor disagreement appends review and preserves original media.</w:t>
      </w:r>
    </w:p>
    <w:p>
      <w:pPr>
        <w:pStyle w:val="ListBullet"/>
      </w:pPr>
      <w:r>
        <w:t>MAST-UAT-15. Unrelated worker cannot see another worker compensation.</w:t>
      </w:r>
    </w:p>
    <w:p>
      <w:pPr>
        <w:pStyle w:val="ListBullet"/>
      </w:pPr>
      <w:r>
        <w:t>MAST-UAT-16. Supplier bank account change automatically holds affected pending payment.</w:t>
      </w:r>
    </w:p>
    <w:p>
      <w:pPr>
        <w:pStyle w:val="ListBullet"/>
      </w:pPr>
      <w:r>
        <w:t>MAST-UAT-17. Three-way match against accepted GRN quantity prevents duplicate payment.</w:t>
      </w:r>
    </w:p>
    <w:p>
      <w:pPr>
        <w:pStyle w:val="ListBullet"/>
      </w:pPr>
      <w:r>
        <w:t>MAST-UAT-18. Stock transit remains in transit until receiving Storekeeper independently accepts.</w:t>
      </w:r>
    </w:p>
    <w:p>
      <w:pPr>
        <w:pStyle w:val="ListBullet"/>
      </w:pPr>
      <w:r>
        <w:t>MAST-UAT-19. Client-owned stock movement blocked absent ownership entitlement/required client consent.</w:t>
      </w:r>
    </w:p>
    <w:p>
      <w:pPr>
        <w:pStyle w:val="ListBullet"/>
      </w:pPr>
      <w:r>
        <w:t>MAST-UAT-20. Equipment cannot be assigned to unqualified/expired operator.</w:t>
      </w:r>
    </w:p>
    <w:p>
      <w:pPr>
        <w:pStyle w:val="ListBullet"/>
      </w:pPr>
      <w:r>
        <w:t>MAST-UAT-21. Critical pre-use defect restricts affected equipment only.</w:t>
      </w:r>
    </w:p>
    <w:p>
      <w:pPr>
        <w:pStyle w:val="ListBullet"/>
      </w:pPr>
      <w:r>
        <w:t>MAST-UAT-22. Repairer cannot self-certify independent return-to-service safety clearance.</w:t>
      </w:r>
    </w:p>
    <w:p>
      <w:pPr>
        <w:pStyle w:val="ListBullet"/>
      </w:pPr>
      <w:r>
        <w:t>MAST-UAT-23. Fuel issue has equipment/site/meter/operator/custody evidence.</w:t>
      </w:r>
    </w:p>
    <w:p>
      <w:pPr>
        <w:pStyle w:val="ListBullet"/>
      </w:pPr>
      <w:r>
        <w:t>MAST-UAT-24. Serious stock losses trigger fair investigation; no automatic salary deduction.</w:t>
      </w:r>
    </w:p>
    <w:p>
      <w:pPr>
        <w:pStyle w:val="ListBullet"/>
      </w:pPr>
      <w:r>
        <w:t>MAST-UAT-25. A chargeable variation needs management-approved client accepted exact scope.</w:t>
      </w:r>
    </w:p>
    <w:p>
      <w:pPr>
        <w:pStyle w:val="ListBullet"/>
      </w:pPr>
      <w:r>
        <w:t>MAST-UAT-26. PM cannot publish confidential worker disputes to client portal.</w:t>
      </w:r>
    </w:p>
    <w:p>
      <w:pPr>
        <w:pStyle w:val="ListBullet"/>
      </w:pPr>
      <w:r>
        <w:t>MAST-UAT-27. Owner cannot bypass GM operational approvals except reserved governance powers.</w:t>
      </w:r>
    </w:p>
    <w:p>
      <w:pPr>
        <w:pStyle w:val="ListBullet"/>
      </w:pPr>
      <w:r>
        <w:t>MAST-UAT-28. GM-linked whistleblower case bypasses conflicted GM controls.</w:t>
      </w:r>
    </w:p>
    <w:p>
      <w:pPr>
        <w:pStyle w:val="ListBullet"/>
      </w:pPr>
      <w:r>
        <w:t>MAST-UAT-29. Management financial override never clears safety/technical/permit gate.</w:t>
      </w:r>
    </w:p>
    <w:p>
      <w:pPr>
        <w:pStyle w:val="ListBullet"/>
      </w:pPr>
      <w:r>
        <w:t>MAST-UAT-30. Physical completion, final account, formal client handover and warranty close remain independently trackable.</w:t>
      </w:r>
    </w:p>
    <w:p>
      <w:pPr>
        <w:pStyle w:val="Heading1"/>
      </w:pPr>
      <w:r>
        <w:t>11. Source and version register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11"/>
        <w:gridCol w:w="5011"/>
      </w:tblGrid>
      <w:tr>
        <w:trPr>
          <w:tblHeader w:val="true"/>
        </w:trPr>
        <w:tc>
          <w:tcPr>
            <w:tcW w:type="dxa" w:w="501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Controlled file</w:t>
            </w:r>
          </w:p>
        </w:tc>
        <w:tc>
          <w:tcPr>
            <w:tcW w:type="dxa" w:w="5011"/>
            <w:vAlign w:val="center"/>
            <w:shd w:fill="183648"/>
          </w:tcPr>
          <w:p>
            <w:r>
              <w:rPr>
                <w:b/>
                <w:color w:val="FFFFFF"/>
                <w:sz w:val="16"/>
              </w:rPr>
              <w:t>Content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Module 01 v3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Site Visit - addendum followed by full revised source.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Module 02 v3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Planning - addendum followed by full revised source.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Module 03 v3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Client Acceptance - addendum followed by full revised source.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Module 04 v3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Approvals - addendum followed by full revised source.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Module 05 v3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Contracts - addendum followed by full revised source.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Module 06 v3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Construction - addendum followed by full revised source.</w:t>
            </w:r>
          </w:p>
        </w:tc>
      </w:tr>
      <w:tr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Module 07 v3</w:t>
            </w:r>
          </w:p>
        </w:tc>
        <w:tc>
          <w:tcPr>
            <w:tcW w:type="dxa" w:w="5011"/>
            <w:vAlign w:val="center"/>
          </w:tcPr>
          <w:p>
            <w:pPr>
              <w:spacing w:after="20"/>
            </w:pPr>
            <w:r>
              <w:rPr>
                <w:sz w:val="16"/>
              </w:rPr>
              <w:t>Standalone authoritative central HR, Finance, Compliance, QA, Audit, IT and GM governance rule set.</w:t>
            </w:r>
          </w:p>
        </w:tc>
      </w:tr>
      <w:tr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Integration Guide 08 v3</w:t>
            </w:r>
          </w:p>
        </w:tc>
        <w:tc>
          <w:tcPr>
            <w:tcW w:type="dxa" w:w="5011"/>
            <w:vAlign w:val="center"/>
            <w:shd w:fill="EDF5F4"/>
          </w:tcPr>
          <w:p>
            <w:pPr>
              <w:spacing w:after="20"/>
            </w:pPr>
            <w:r>
              <w:rPr>
                <w:sz w:val="16"/>
              </w:rPr>
              <w:t>Screen inventory, modules/service interfaces, gates, technical tests and implementation configuration.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94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CONFIDENTIAL • v3.0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117D74"/>
      </w:rPr>
      <w:t>MATHMAG  |  MANAGEMENT SYSTEM  |  MBMS-ARCH-00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838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8364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17D7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83648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ptos" w:hAnsi="Aptos"/>
      <w:b/>
      <w:color w:val="18364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